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outlineLvl w:val="0"/>
        <w:rPr>
          <w:rFonts w:ascii="黑体" w:hAnsi="宋体" w:eastAsia="黑体"/>
          <w:bCs/>
          <w:color w:val="auto"/>
          <w:sz w:val="32"/>
          <w:szCs w:val="32"/>
          <w:highlight w:val="none"/>
        </w:rPr>
      </w:pPr>
      <w:bookmarkStart w:id="0" w:name="_Toc353262371"/>
      <w:r>
        <w:rPr>
          <w:rFonts w:hint="eastAsia" w:ascii="黑体" w:hAnsi="宋体" w:eastAsia="黑体"/>
          <w:bCs/>
          <w:color w:val="auto"/>
          <w:sz w:val="32"/>
          <w:szCs w:val="32"/>
          <w:highlight w:val="none"/>
        </w:rPr>
        <w:t>第四章  需求及技术规格</w:t>
      </w:r>
      <w:bookmarkEnd w:id="0"/>
    </w:p>
    <w:p>
      <w:pPr>
        <w:spacing w:line="340" w:lineRule="exact"/>
        <w:ind w:left="-71" w:firstLine="447" w:firstLineChars="212"/>
        <w:rPr>
          <w:rFonts w:ascii="宋体" w:hAnsi="宋体"/>
          <w:b/>
          <w:bCs/>
          <w:color w:val="auto"/>
          <w:szCs w:val="21"/>
          <w:highlight w:val="none"/>
        </w:rPr>
      </w:pPr>
    </w:p>
    <w:p>
      <w:pPr>
        <w:jc w:val="center"/>
        <w:outlineLvl w:val="1"/>
        <w:rPr>
          <w:rFonts w:ascii="黑体" w:hAnsi="宋体" w:eastAsia="黑体"/>
          <w:bCs/>
          <w:color w:val="auto"/>
          <w:sz w:val="24"/>
          <w:szCs w:val="24"/>
          <w:highlight w:val="none"/>
        </w:rPr>
      </w:pPr>
      <w:bookmarkStart w:id="1" w:name="_Toc353262372"/>
      <w:r>
        <w:rPr>
          <w:rFonts w:hint="eastAsia" w:ascii="黑体" w:hAnsi="宋体" w:eastAsia="黑体"/>
          <w:bCs/>
          <w:color w:val="auto"/>
          <w:sz w:val="24"/>
          <w:szCs w:val="24"/>
          <w:highlight w:val="none"/>
        </w:rPr>
        <w:t>第一节  说明</w:t>
      </w:r>
      <w:bookmarkEnd w:id="1"/>
    </w:p>
    <w:p>
      <w:pPr>
        <w:spacing w:line="360" w:lineRule="exact"/>
        <w:ind w:firstLine="420" w:firstLineChars="200"/>
        <w:rPr>
          <w:rFonts w:ascii="宋体" w:hAnsi="宋体"/>
          <w:bCs/>
          <w:color w:val="auto"/>
          <w:szCs w:val="21"/>
          <w:highlight w:val="none"/>
        </w:rPr>
      </w:pPr>
      <w:r>
        <w:rPr>
          <w:rFonts w:hint="eastAsia" w:ascii="宋体" w:hAnsi="宋体"/>
          <w:color w:val="auto"/>
          <w:szCs w:val="21"/>
          <w:highlight w:val="none"/>
        </w:rPr>
        <w:t>1、投标人必须对本招标文件所列的所有采购内容进行投标，不得将项目中的内容拆开投标，如果项目有分包的，投标人也可以只对其中一个或几个分包进行投标，但不得将一个包中的内容拆开投标，否则将导致其投标被拒绝。投标人须认真填写第五章的偏离表，偏离表将作为重要的评标依据。</w:t>
      </w:r>
    </w:p>
    <w:p>
      <w:pPr>
        <w:spacing w:line="360" w:lineRule="exact"/>
        <w:ind w:firstLine="413" w:firstLineChars="196"/>
        <w:rPr>
          <w:rFonts w:ascii="宋体" w:hAnsi="宋体"/>
          <w:b/>
          <w:color w:val="auto"/>
          <w:highlight w:val="none"/>
        </w:rPr>
      </w:pPr>
      <w:r>
        <w:rPr>
          <w:rFonts w:hint="eastAsia" w:ascii="宋体" w:hAnsi="宋体"/>
          <w:b/>
          <w:color w:val="auto"/>
          <w:highlight w:val="none"/>
        </w:rPr>
        <w:t>重点说明：偏离表中“偏离度”由投标人自行判断后填写，内容仅供评委参考，</w:t>
      </w:r>
      <w:r>
        <w:rPr>
          <w:rFonts w:ascii="宋体" w:hAnsi="宋体"/>
          <w:b/>
          <w:color w:val="auto"/>
          <w:highlight w:val="none"/>
        </w:rPr>
        <w:t>评标委员会将根据</w:t>
      </w:r>
      <w:r>
        <w:rPr>
          <w:rFonts w:hint="eastAsia" w:ascii="宋体" w:hAnsi="宋体"/>
          <w:b/>
          <w:color w:val="auto"/>
          <w:highlight w:val="none"/>
        </w:rPr>
        <w:t>具体响应内容</w:t>
      </w:r>
      <w:r>
        <w:rPr>
          <w:rFonts w:ascii="宋体" w:hAnsi="宋体"/>
          <w:b/>
          <w:color w:val="auto"/>
          <w:highlight w:val="none"/>
        </w:rPr>
        <w:t>给予是否偏离的认定，并以此</w:t>
      </w:r>
      <w:r>
        <w:rPr>
          <w:rFonts w:hint="eastAsia" w:ascii="宋体" w:hAnsi="宋体"/>
          <w:b/>
          <w:color w:val="auto"/>
          <w:highlight w:val="none"/>
        </w:rPr>
        <w:t>作为</w:t>
      </w:r>
      <w:r>
        <w:rPr>
          <w:rFonts w:ascii="宋体" w:hAnsi="宋体"/>
          <w:b/>
          <w:color w:val="auto"/>
          <w:highlight w:val="none"/>
        </w:rPr>
        <w:t>最终评判</w:t>
      </w:r>
      <w:r>
        <w:rPr>
          <w:rFonts w:hint="eastAsia" w:ascii="宋体" w:hAnsi="宋体"/>
          <w:b/>
          <w:color w:val="auto"/>
          <w:szCs w:val="22"/>
          <w:highlight w:val="none"/>
        </w:rPr>
        <w:t>。</w:t>
      </w:r>
      <w:r>
        <w:rPr>
          <w:rFonts w:hint="eastAsia" w:ascii="宋体" w:hAnsi="宋体"/>
          <w:b/>
          <w:color w:val="auto"/>
          <w:highlight w:val="none"/>
        </w:rPr>
        <w:t>需求中要求提供证书、检测报告、承诺函或其他证明文件的，如投标人未按要求提供或提供的文件无法证明对应事项的，该项要求的响应偏离度评委会有权认定为“负偏离”，若该项要求为不可偏离项或实质性要求，做无效标处理；若该项要求非不可偏离项，则按评分标准做相应扣分处理。</w:t>
      </w:r>
    </w:p>
    <w:p>
      <w:pPr>
        <w:spacing w:line="36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2、</w:t>
      </w:r>
      <w:r>
        <w:rPr>
          <w:rFonts w:ascii="宋体" w:hAnsi="宋体"/>
          <w:b/>
          <w:bCs/>
          <w:color w:val="auto"/>
          <w:szCs w:val="21"/>
          <w:highlight w:val="none"/>
        </w:rPr>
        <w:t>本招标文件要求中，凡标有</w:t>
      </w:r>
      <w:r>
        <w:rPr>
          <w:rFonts w:hint="eastAsia" w:ascii="宋体" w:hAnsi="宋体"/>
          <w:b/>
          <w:bCs/>
          <w:color w:val="auto"/>
          <w:szCs w:val="21"/>
          <w:highlight w:val="none"/>
        </w:rPr>
        <w:t>“★”</w:t>
      </w:r>
      <w:r>
        <w:rPr>
          <w:rFonts w:ascii="宋体" w:hAnsi="宋体"/>
          <w:b/>
          <w:bCs/>
          <w:color w:val="auto"/>
          <w:szCs w:val="21"/>
          <w:highlight w:val="none"/>
        </w:rPr>
        <w:t>的地方均被视为</w:t>
      </w:r>
      <w:r>
        <w:rPr>
          <w:rFonts w:hint="eastAsia" w:ascii="宋体" w:hAnsi="宋体"/>
          <w:b/>
          <w:bCs/>
          <w:color w:val="auto"/>
          <w:szCs w:val="21"/>
          <w:highlight w:val="none"/>
        </w:rPr>
        <w:t>不可偏离条款，</w:t>
      </w:r>
      <w:r>
        <w:rPr>
          <w:rFonts w:ascii="宋体" w:hAnsi="宋体"/>
          <w:b/>
          <w:bCs/>
          <w:color w:val="auto"/>
          <w:szCs w:val="21"/>
          <w:highlight w:val="none"/>
        </w:rPr>
        <w:t>投标人要特别加以注意</w:t>
      </w:r>
      <w:r>
        <w:rPr>
          <w:rFonts w:hint="eastAsia" w:ascii="宋体" w:hAnsi="宋体"/>
          <w:b/>
          <w:bCs/>
          <w:color w:val="auto"/>
          <w:szCs w:val="21"/>
          <w:highlight w:val="none"/>
        </w:rPr>
        <w:t>并予以响应，</w:t>
      </w:r>
      <w:r>
        <w:rPr>
          <w:rFonts w:ascii="宋体" w:hAnsi="宋体"/>
          <w:b/>
          <w:bCs/>
          <w:color w:val="auto"/>
          <w:szCs w:val="21"/>
          <w:highlight w:val="none"/>
        </w:rPr>
        <w:t>否则，若有一项带</w:t>
      </w:r>
      <w:r>
        <w:rPr>
          <w:rFonts w:hint="eastAsia" w:ascii="宋体" w:hAnsi="宋体"/>
          <w:b/>
          <w:bCs/>
          <w:color w:val="auto"/>
          <w:szCs w:val="21"/>
          <w:highlight w:val="none"/>
        </w:rPr>
        <w:t>“★”</w:t>
      </w:r>
      <w:r>
        <w:rPr>
          <w:rFonts w:ascii="宋体" w:hAnsi="宋体"/>
          <w:b/>
          <w:bCs/>
          <w:color w:val="auto"/>
          <w:szCs w:val="21"/>
          <w:highlight w:val="none"/>
        </w:rPr>
        <w:t>的</w:t>
      </w:r>
      <w:r>
        <w:rPr>
          <w:rFonts w:hint="eastAsia" w:ascii="宋体" w:hAnsi="宋体"/>
          <w:b/>
          <w:bCs/>
          <w:color w:val="auto"/>
          <w:szCs w:val="21"/>
          <w:highlight w:val="none"/>
        </w:rPr>
        <w:t>要求</w:t>
      </w:r>
      <w:r>
        <w:rPr>
          <w:rFonts w:ascii="宋体" w:hAnsi="宋体"/>
          <w:b/>
          <w:bCs/>
          <w:color w:val="auto"/>
          <w:szCs w:val="21"/>
          <w:highlight w:val="none"/>
        </w:rPr>
        <w:t>未响应或不满足，将按投标无效处理</w:t>
      </w:r>
      <w:r>
        <w:rPr>
          <w:rFonts w:hint="eastAsia" w:ascii="宋体" w:hAnsi="宋体"/>
          <w:b/>
          <w:bCs/>
          <w:color w:val="auto"/>
          <w:szCs w:val="21"/>
          <w:highlight w:val="none"/>
        </w:rPr>
        <w:t>；</w:t>
      </w:r>
      <w:r>
        <w:rPr>
          <w:rFonts w:ascii="宋体" w:hAnsi="宋体"/>
          <w:b/>
          <w:bCs/>
          <w:color w:val="auto"/>
          <w:szCs w:val="21"/>
          <w:highlight w:val="none"/>
        </w:rPr>
        <w:t>凡标有</w:t>
      </w:r>
      <w:r>
        <w:rPr>
          <w:rFonts w:hint="eastAsia" w:ascii="宋体" w:hAnsi="宋体"/>
          <w:b/>
          <w:bCs/>
          <w:color w:val="auto"/>
          <w:szCs w:val="21"/>
          <w:highlight w:val="none"/>
        </w:rPr>
        <w:t xml:space="preserve"> “▲”</w:t>
      </w:r>
      <w:r>
        <w:rPr>
          <w:rFonts w:ascii="宋体" w:hAnsi="宋体"/>
          <w:b/>
          <w:bCs/>
          <w:color w:val="auto"/>
          <w:szCs w:val="21"/>
          <w:highlight w:val="none"/>
        </w:rPr>
        <w:t>的地方均被视为重要要求</w:t>
      </w:r>
      <w:r>
        <w:rPr>
          <w:rFonts w:hint="eastAsia" w:ascii="宋体" w:hAnsi="宋体"/>
          <w:b/>
          <w:bCs/>
          <w:color w:val="auto"/>
          <w:szCs w:val="21"/>
          <w:highlight w:val="none"/>
        </w:rPr>
        <w:t>，若有带“▲”的要求未响应或不满足的，将按加重扣分处理</w:t>
      </w:r>
      <w:r>
        <w:rPr>
          <w:rFonts w:ascii="宋体" w:hAnsi="宋体"/>
          <w:b/>
          <w:bCs/>
          <w:color w:val="auto"/>
          <w:szCs w:val="21"/>
          <w:highlight w:val="none"/>
        </w:rPr>
        <w:t>。</w:t>
      </w:r>
    </w:p>
    <w:p>
      <w:pPr>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3、相同品牌产品投标的说明：</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采用最低价法评标的，提供相同品牌产品的不同投标人参加同一合同项下投标的，以其中通过资格审查、符合性审查且报价最低的参加评标；报价相同的，由采购人或者采购人委托评标委员会确定技术指标最优的一个投标人参加评标；技术指标仍相同的，采取随机抽取方式确定，其他投标无效。</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使用综合评分法评标的，提供相同品牌产品且通过资格审查、符合性审查的不同投标人参加同一合同项下投标的，按一家投标人计算，评审后得分最高的同品牌投标人获得中标人推荐资格；评审得分相同的，由采购人或者采购人委托评标委员会确定技术得分最高的一个投标人获得中标人推荐资格；技术得分仍相同的，确定投标报价最低的一个投标人获得中标人推荐资格；投标报价仍相同，采取随机抽取方式确定，其他同品牌投标人不作为中标候选人。</w:t>
      </w:r>
    </w:p>
    <w:p>
      <w:pPr>
        <w:spacing w:line="360" w:lineRule="exact"/>
        <w:ind w:firstLine="422" w:firstLineChars="200"/>
        <w:rPr>
          <w:rFonts w:ascii="宋体" w:hAnsi="宋体"/>
          <w:bCs/>
          <w:color w:val="auto"/>
          <w:spacing w:val="-2"/>
          <w:szCs w:val="21"/>
          <w:highlight w:val="none"/>
        </w:rPr>
      </w:pPr>
      <w:r>
        <w:rPr>
          <w:rFonts w:hint="eastAsia" w:ascii="宋体" w:hAnsi="宋体"/>
          <w:b/>
          <w:color w:val="auto"/>
          <w:szCs w:val="21"/>
          <w:highlight w:val="none"/>
        </w:rPr>
        <w:t>4、进口产品：</w:t>
      </w:r>
      <w:r>
        <w:rPr>
          <w:rFonts w:hint="eastAsia" w:ascii="宋体" w:hAnsi="宋体"/>
          <w:color w:val="auto"/>
          <w:szCs w:val="21"/>
          <w:highlight w:val="none"/>
        </w:rPr>
        <w:t>对于经财政部门审批同意采购进口产品的，即使在进口产品中，也优先采购向我国企业转让技术、与我国企业签订消化吸收再创新方案的供应商的进口产品是指在采用综合评分法时，如果有两家以上经评审最高得分相同时具有优先性；在采用最低价评标法时，如果经评审最低价在两家以上时具有优先性。供应商如果满足上述条件，须自行在投标文件中提供上述证明文件，否则，不具备优先性。</w:t>
      </w:r>
    </w:p>
    <w:p>
      <w:pPr>
        <w:jc w:val="center"/>
        <w:outlineLvl w:val="1"/>
        <w:rPr>
          <w:rFonts w:ascii="黑体" w:hAnsi="宋体" w:eastAsia="黑体"/>
          <w:bCs/>
          <w:color w:val="auto"/>
          <w:sz w:val="24"/>
          <w:szCs w:val="24"/>
          <w:highlight w:val="none"/>
        </w:rPr>
      </w:pPr>
      <w:bookmarkStart w:id="2" w:name="_Toc353262373"/>
      <w:r>
        <w:rPr>
          <w:rFonts w:hint="eastAsia" w:ascii="黑体" w:hAnsi="宋体" w:eastAsia="黑体"/>
          <w:bCs/>
          <w:color w:val="auto"/>
          <w:sz w:val="24"/>
          <w:szCs w:val="24"/>
          <w:highlight w:val="none"/>
        </w:rPr>
        <w:t>第二节  需求一览表</w:t>
      </w:r>
      <w:bookmarkEnd w:id="2"/>
    </w:p>
    <w:tbl>
      <w:tblPr>
        <w:tblStyle w:val="29"/>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3385"/>
        <w:gridCol w:w="852"/>
        <w:gridCol w:w="853"/>
        <w:gridCol w:w="1363"/>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r>
              <w:rPr>
                <w:rFonts w:ascii="宋体" w:hAnsi="宋体"/>
                <w:b/>
                <w:color w:val="auto"/>
                <w:highlight w:val="none"/>
              </w:rPr>
              <w:t>序号</w:t>
            </w:r>
          </w:p>
        </w:tc>
        <w:tc>
          <w:tcPr>
            <w:tcW w:w="33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highlight w:val="none"/>
              </w:rPr>
            </w:pPr>
            <w:r>
              <w:rPr>
                <w:rFonts w:hint="eastAsia" w:ascii="宋体" w:hAnsi="宋体"/>
                <w:b/>
                <w:color w:val="auto"/>
                <w:szCs w:val="21"/>
                <w:highlight w:val="none"/>
              </w:rPr>
              <w:t>货物</w:t>
            </w:r>
            <w:r>
              <w:rPr>
                <w:rFonts w:ascii="宋体" w:hAnsi="宋体"/>
                <w:b/>
                <w:color w:val="auto"/>
                <w:szCs w:val="21"/>
                <w:highlight w:val="none"/>
              </w:rPr>
              <w:t>名称</w:t>
            </w: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r>
              <w:rPr>
                <w:rFonts w:ascii="宋体" w:hAnsi="宋体"/>
                <w:b/>
                <w:color w:val="auto"/>
                <w:highlight w:val="none"/>
              </w:rPr>
              <w:t>数量</w:t>
            </w:r>
          </w:p>
        </w:tc>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r>
              <w:rPr>
                <w:rFonts w:ascii="宋体" w:hAnsi="宋体"/>
                <w:b/>
                <w:color w:val="auto"/>
                <w:highlight w:val="none"/>
              </w:rPr>
              <w:t>单位</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b/>
                <w:bCs/>
                <w:color w:val="auto"/>
                <w:szCs w:val="21"/>
                <w:highlight w:val="none"/>
              </w:rPr>
            </w:pPr>
            <w:r>
              <w:rPr>
                <w:rFonts w:hint="eastAsia"/>
                <w:b/>
                <w:bCs/>
                <w:color w:val="auto"/>
                <w:szCs w:val="21"/>
                <w:highlight w:val="none"/>
              </w:rPr>
              <w:t>备注</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highlight w:val="none"/>
              </w:rPr>
            </w:pPr>
            <w:r>
              <w:rPr>
                <w:rFonts w:hint="eastAsia"/>
                <w:b/>
                <w:color w:val="auto"/>
                <w:szCs w:val="21"/>
                <w:highlight w:val="none"/>
              </w:rPr>
              <w:t>预算控制金额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ascii="宋体" w:hAnsi="宋体"/>
                <w:color w:val="auto"/>
                <w:highlight w:val="none"/>
              </w:rPr>
              <w:t>1</w:t>
            </w:r>
          </w:p>
        </w:tc>
        <w:tc>
          <w:tcPr>
            <w:tcW w:w="33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ascii="宋体" w:hAnsi="宋体"/>
                <w:color w:val="auto"/>
                <w:highlight w:val="none"/>
              </w:rPr>
              <w:t>麻醉工作站</w:t>
            </w: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1</w:t>
            </w:r>
          </w:p>
        </w:tc>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套</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b/>
                <w:bCs/>
                <w:color w:val="auto"/>
                <w:szCs w:val="21"/>
                <w:highlight w:val="none"/>
              </w:rPr>
            </w:pPr>
            <w:r>
              <w:rPr>
                <w:rFonts w:hint="eastAsia"/>
                <w:b/>
                <w:bCs/>
                <w:color w:val="auto"/>
                <w:szCs w:val="21"/>
                <w:highlight w:val="none"/>
              </w:rPr>
              <w:t>接受进口</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olor w:val="auto"/>
                <w:szCs w:val="21"/>
                <w:highlight w:val="none"/>
              </w:rPr>
              <w:t>9</w:t>
            </w:r>
            <w:r>
              <w:rPr>
                <w:color w:val="auto"/>
                <w:szCs w:val="21"/>
                <w:highlight w:val="none"/>
              </w:rPr>
              <w:t>0</w:t>
            </w:r>
            <w:r>
              <w:rPr>
                <w:rFonts w:hint="eastAsia"/>
                <w:color w:val="auto"/>
                <w:szCs w:val="21"/>
                <w:highlight w:val="none"/>
              </w:rPr>
              <w:t>万元</w:t>
            </w:r>
          </w:p>
        </w:tc>
      </w:tr>
    </w:tbl>
    <w:p>
      <w:pPr>
        <w:spacing w:line="340" w:lineRule="exact"/>
        <w:ind w:firstLine="422" w:firstLineChars="200"/>
        <w:rPr>
          <w:rFonts w:ascii="宋体" w:hAnsi="宋体"/>
          <w:b/>
          <w:color w:val="auto"/>
          <w:szCs w:val="21"/>
          <w:highlight w:val="none"/>
        </w:rPr>
      </w:pPr>
      <w:r>
        <w:rPr>
          <w:rFonts w:hint="eastAsia" w:ascii="宋体" w:hAnsi="宋体"/>
          <w:b/>
          <w:color w:val="auto"/>
          <w:szCs w:val="21"/>
          <w:highlight w:val="none"/>
        </w:rPr>
        <w:t xml:space="preserve">注：备注栏注明“拒绝进口”的产品不接受投标人选用进口产品参与投标；注明“接受进口”的产品允许投标人选用进口产品参与投标，但不排斥国内产品。 </w:t>
      </w:r>
    </w:p>
    <w:p>
      <w:pPr>
        <w:spacing w:line="340" w:lineRule="exact"/>
        <w:ind w:firstLine="422" w:firstLineChars="200"/>
        <w:rPr>
          <w:rFonts w:ascii="宋体" w:hAnsi="宋体"/>
          <w:b/>
          <w:bCs/>
          <w:color w:val="auto"/>
          <w:szCs w:val="21"/>
          <w:highlight w:val="none"/>
        </w:rPr>
      </w:pPr>
    </w:p>
    <w:p>
      <w:pPr>
        <w:jc w:val="center"/>
        <w:outlineLvl w:val="1"/>
        <w:rPr>
          <w:rFonts w:ascii="黑体" w:hAnsi="宋体" w:eastAsia="黑体"/>
          <w:bCs/>
          <w:color w:val="auto"/>
          <w:sz w:val="24"/>
          <w:szCs w:val="24"/>
          <w:highlight w:val="none"/>
        </w:rPr>
      </w:pPr>
      <w:bookmarkStart w:id="3" w:name="_Toc353262374"/>
      <w:r>
        <w:rPr>
          <w:rFonts w:hint="eastAsia" w:ascii="黑体" w:hAnsi="宋体" w:eastAsia="黑体"/>
          <w:bCs/>
          <w:color w:val="auto"/>
          <w:sz w:val="24"/>
          <w:szCs w:val="24"/>
          <w:highlight w:val="none"/>
        </w:rPr>
        <w:t>第三节  技术需求明细</w:t>
      </w:r>
      <w:bookmarkEnd w:id="3"/>
    </w:p>
    <w:p>
      <w:pPr>
        <w:spacing w:line="360" w:lineRule="exact"/>
        <w:ind w:firstLine="422" w:firstLineChars="200"/>
        <w:rPr>
          <w:rFonts w:ascii="宋体" w:hAnsi="宋体"/>
          <w:color w:val="auto"/>
          <w:szCs w:val="21"/>
          <w:highlight w:val="none"/>
        </w:rPr>
      </w:pPr>
      <w:bookmarkStart w:id="4" w:name="_Toc353262375"/>
      <w:r>
        <w:rPr>
          <w:rFonts w:ascii="宋体" w:hAnsi="宋体"/>
          <w:b/>
          <w:color w:val="auto"/>
          <w:szCs w:val="21"/>
          <w:highlight w:val="none"/>
        </w:rPr>
        <w:t>1总体功能要求：设备必须符合CE 认证。具有新鲜气体混合系统，电动电控活塞式呼吸机，呼吸力学和麻醉气体监测系统。麻醉机必须能升级、增加、提供新的功能，并与监护仪同一品牌。</w:t>
      </w:r>
      <w:r>
        <w:rPr>
          <w:rFonts w:ascii="宋体" w:hAnsi="宋体"/>
          <w:b/>
          <w:color w:val="auto"/>
          <w:szCs w:val="21"/>
          <w:highlight w:val="none"/>
        </w:rPr>
        <w:br w:type="textWrapping"/>
      </w:r>
      <w:r>
        <w:rPr>
          <w:rFonts w:ascii="宋体" w:hAnsi="宋体"/>
          <w:b/>
          <w:color w:val="auto"/>
          <w:szCs w:val="21"/>
          <w:highlight w:val="none"/>
        </w:rPr>
        <w:t>2、操作及使用要求：</w:t>
      </w:r>
      <w:r>
        <w:rPr>
          <w:rFonts w:ascii="宋体" w:hAnsi="宋体"/>
          <w:b/>
          <w:color w:val="auto"/>
          <w:szCs w:val="21"/>
          <w:highlight w:val="none"/>
        </w:rPr>
        <w:br w:type="textWrapping"/>
      </w:r>
      <w:r>
        <w:rPr>
          <w:rFonts w:ascii="宋体" w:hAnsi="宋体"/>
          <w:color w:val="auto"/>
          <w:szCs w:val="21"/>
          <w:highlight w:val="none"/>
        </w:rPr>
        <w:t>▲2.1、系统操作屏：内置一体化彩色液晶显示屏（非外置旋转臂），屏幕≥12英寸。显示内容包括：3道实时波形、监测数据、设置参数；能自由定位波形和屏幕模块，可配置和储存三个独立的用户界面。</w:t>
      </w:r>
      <w:r>
        <w:rPr>
          <w:rFonts w:ascii="宋体" w:hAnsi="宋体"/>
          <w:color w:val="auto"/>
          <w:szCs w:val="21"/>
          <w:highlight w:val="none"/>
        </w:rPr>
        <w:br w:type="textWrapping"/>
      </w:r>
      <w:r>
        <w:rPr>
          <w:rFonts w:ascii="宋体" w:hAnsi="宋体"/>
          <w:color w:val="auto"/>
          <w:szCs w:val="21"/>
          <w:highlight w:val="none"/>
        </w:rPr>
        <w:t>2.2、气体供应和监测：</w:t>
      </w:r>
      <w:r>
        <w:rPr>
          <w:rFonts w:ascii="宋体" w:hAnsi="宋体"/>
          <w:color w:val="auto"/>
          <w:szCs w:val="21"/>
          <w:highlight w:val="none"/>
        </w:rPr>
        <w:br w:type="textWrapping"/>
      </w:r>
      <w:r>
        <w:rPr>
          <w:rFonts w:ascii="宋体" w:hAnsi="宋体"/>
          <w:color w:val="auto"/>
          <w:szCs w:val="21"/>
          <w:highlight w:val="none"/>
        </w:rPr>
        <w:t>2.2.1、中央供气适用O2, N2O 和 Air三气源；具备电子压力计监测三气源压力大小。</w:t>
      </w:r>
      <w:r>
        <w:rPr>
          <w:rFonts w:ascii="宋体" w:hAnsi="宋体"/>
          <w:color w:val="auto"/>
          <w:szCs w:val="21"/>
          <w:highlight w:val="none"/>
        </w:rPr>
        <w:br w:type="textWrapping"/>
      </w:r>
      <w:r>
        <w:rPr>
          <w:rFonts w:ascii="宋体" w:hAnsi="宋体"/>
          <w:color w:val="auto"/>
          <w:szCs w:val="21"/>
          <w:highlight w:val="none"/>
        </w:rPr>
        <w:t>▲2.2.2、新鲜气体流量设置采用电子操作，通过虚拟新鲜气体流量计直观地显示在屏幕上数字指示。</w:t>
      </w:r>
      <w:r>
        <w:rPr>
          <w:rFonts w:ascii="宋体" w:hAnsi="宋体"/>
          <w:color w:val="auto"/>
          <w:szCs w:val="21"/>
          <w:highlight w:val="none"/>
        </w:rPr>
        <w:br w:type="textWrapping"/>
      </w:r>
      <w:r>
        <w:rPr>
          <w:rFonts w:ascii="宋体" w:hAnsi="宋体"/>
          <w:color w:val="auto"/>
          <w:szCs w:val="21"/>
          <w:highlight w:val="none"/>
        </w:rPr>
        <w:t>2.3、电源供应及监测：</w:t>
      </w:r>
      <w:r>
        <w:rPr>
          <w:rFonts w:ascii="宋体" w:hAnsi="宋体"/>
          <w:color w:val="auto"/>
          <w:szCs w:val="21"/>
          <w:highlight w:val="none"/>
        </w:rPr>
        <w:br w:type="textWrapping"/>
      </w:r>
      <w:r>
        <w:rPr>
          <w:rFonts w:ascii="宋体" w:hAnsi="宋体"/>
          <w:color w:val="auto"/>
          <w:szCs w:val="21"/>
          <w:highlight w:val="none"/>
        </w:rPr>
        <w:t>2.3.1、显示交流电和电池状况，不间断电源为所有部件提供≥90分钟供电。</w:t>
      </w:r>
      <w:r>
        <w:rPr>
          <w:rFonts w:ascii="宋体" w:hAnsi="宋体"/>
          <w:color w:val="auto"/>
          <w:szCs w:val="21"/>
          <w:highlight w:val="none"/>
        </w:rPr>
        <w:br w:type="textWrapping"/>
      </w:r>
      <w:r>
        <w:rPr>
          <w:rFonts w:ascii="宋体" w:hAnsi="宋体"/>
          <w:color w:val="auto"/>
          <w:szCs w:val="21"/>
          <w:highlight w:val="none"/>
        </w:rPr>
        <w:t>2.3.2、如果交流电和（或）电池断电时，手动通气、气体输送和麻药输送不受影响。</w:t>
      </w:r>
      <w:r>
        <w:rPr>
          <w:rFonts w:ascii="宋体" w:hAnsi="宋体"/>
          <w:color w:val="auto"/>
          <w:szCs w:val="21"/>
          <w:highlight w:val="none"/>
        </w:rPr>
        <w:br w:type="textWrapping"/>
      </w:r>
      <w:r>
        <w:rPr>
          <w:rFonts w:ascii="宋体" w:hAnsi="宋体"/>
          <w:b/>
          <w:color w:val="auto"/>
          <w:szCs w:val="21"/>
          <w:highlight w:val="none"/>
        </w:rPr>
        <w:t>3、新鲜气体混合系统要求：</w:t>
      </w:r>
      <w:r>
        <w:rPr>
          <w:rFonts w:ascii="宋体" w:hAnsi="宋体"/>
          <w:b/>
          <w:color w:val="auto"/>
          <w:szCs w:val="21"/>
          <w:highlight w:val="none"/>
        </w:rPr>
        <w:br w:type="textWrapping"/>
      </w:r>
      <w:r>
        <w:rPr>
          <w:rFonts w:ascii="宋体" w:hAnsi="宋体"/>
          <w:color w:val="auto"/>
          <w:szCs w:val="21"/>
          <w:highlight w:val="none"/>
        </w:rPr>
        <w:t>▲3.1、电子新鲜气体流量设置范围：0和0.2-18升/分。</w:t>
      </w:r>
      <w:r>
        <w:rPr>
          <w:rFonts w:ascii="宋体" w:hAnsi="宋体"/>
          <w:color w:val="auto"/>
          <w:szCs w:val="21"/>
          <w:highlight w:val="none"/>
        </w:rPr>
        <w:br w:type="textWrapping"/>
      </w:r>
      <w:r>
        <w:rPr>
          <w:rFonts w:ascii="宋体" w:hAnsi="宋体"/>
          <w:color w:val="auto"/>
          <w:szCs w:val="21"/>
          <w:highlight w:val="none"/>
        </w:rPr>
        <w:t>▲3.2、O2流量控制：灵敏的ORC功能：笑气（N2O）作为载气时，≥25%的氧浓度或不低于200毫升/分钟的氧流量。</w:t>
      </w:r>
      <w:r>
        <w:rPr>
          <w:rFonts w:ascii="宋体" w:hAnsi="宋体"/>
          <w:color w:val="auto"/>
          <w:szCs w:val="21"/>
          <w:highlight w:val="none"/>
        </w:rPr>
        <w:br w:type="textWrapping"/>
      </w:r>
      <w:r>
        <w:rPr>
          <w:rFonts w:ascii="宋体" w:hAnsi="宋体"/>
          <w:color w:val="auto"/>
          <w:szCs w:val="21"/>
          <w:highlight w:val="none"/>
        </w:rPr>
        <w:t>3.3、具有快速充氧键，充氧速度＞35升/分。</w:t>
      </w:r>
      <w:r>
        <w:rPr>
          <w:rFonts w:ascii="宋体" w:hAnsi="宋体"/>
          <w:color w:val="auto"/>
          <w:szCs w:val="21"/>
          <w:highlight w:val="none"/>
        </w:rPr>
        <w:br w:type="textWrapping"/>
      </w:r>
      <w:r>
        <w:rPr>
          <w:rFonts w:ascii="宋体" w:hAnsi="宋体"/>
          <w:color w:val="auto"/>
          <w:szCs w:val="21"/>
          <w:highlight w:val="none"/>
        </w:rPr>
        <w:t>3.4、二氧化碳吸收装置：▲标配1.5L大容量吸收罐1个。</w:t>
      </w:r>
      <w:r>
        <w:rPr>
          <w:rFonts w:ascii="宋体" w:hAnsi="宋体"/>
          <w:color w:val="auto"/>
          <w:szCs w:val="21"/>
          <w:highlight w:val="none"/>
        </w:rPr>
        <w:br w:type="textWrapping"/>
      </w:r>
      <w:r>
        <w:rPr>
          <w:rFonts w:ascii="宋体" w:hAnsi="宋体"/>
          <w:color w:val="auto"/>
          <w:szCs w:val="21"/>
          <w:highlight w:val="none"/>
        </w:rPr>
        <w:t>3.5、挥发罐系统：挥发罐容量≥300毫升液体。</w:t>
      </w:r>
      <w:r>
        <w:rPr>
          <w:rFonts w:ascii="宋体" w:hAnsi="宋体"/>
          <w:color w:val="auto"/>
          <w:szCs w:val="21"/>
          <w:highlight w:val="none"/>
        </w:rPr>
        <w:br w:type="textWrapping"/>
      </w:r>
      <w:r>
        <w:rPr>
          <w:rFonts w:ascii="宋体" w:hAnsi="宋体"/>
          <w:color w:val="auto"/>
          <w:szCs w:val="21"/>
          <w:highlight w:val="none"/>
        </w:rPr>
        <w:t>3.6、具有双罐位和快速拔插更换系统，具有防药物泄漏功能。</w:t>
      </w:r>
      <w:r>
        <w:rPr>
          <w:rFonts w:ascii="宋体" w:hAnsi="宋体"/>
          <w:color w:val="auto"/>
          <w:szCs w:val="21"/>
          <w:highlight w:val="none"/>
        </w:rPr>
        <w:br w:type="textWrapping"/>
      </w:r>
      <w:r>
        <w:rPr>
          <w:rFonts w:ascii="宋体" w:hAnsi="宋体"/>
          <w:color w:val="auto"/>
          <w:szCs w:val="21"/>
          <w:highlight w:val="none"/>
        </w:rPr>
        <w:t>3.7、挥发罐出厂前一次性标定，无需维护。具有压力、流量、温度自动补偿功能，输出浓度恒定。</w:t>
      </w:r>
      <w:r>
        <w:rPr>
          <w:rFonts w:ascii="宋体" w:hAnsi="宋体"/>
          <w:color w:val="auto"/>
          <w:szCs w:val="21"/>
          <w:highlight w:val="none"/>
        </w:rPr>
        <w:br w:type="textWrapping"/>
      </w:r>
      <w:r>
        <w:rPr>
          <w:rFonts w:ascii="宋体" w:hAnsi="宋体"/>
          <w:color w:val="auto"/>
          <w:szCs w:val="21"/>
          <w:highlight w:val="none"/>
        </w:rPr>
        <w:t>3.8、新鲜气体隔离阀：呼吸机送气时新鲜气体不会进入呼吸回路，保证输送给患者的潮气量完全不受新鲜气体流量的影响，且不依赖于流量传感器的监测。</w:t>
      </w:r>
      <w:r>
        <w:rPr>
          <w:rFonts w:ascii="宋体" w:hAnsi="宋体"/>
          <w:color w:val="auto"/>
          <w:szCs w:val="21"/>
          <w:highlight w:val="none"/>
        </w:rPr>
        <w:br w:type="textWrapping"/>
      </w:r>
      <w:r>
        <w:rPr>
          <w:rFonts w:ascii="宋体" w:hAnsi="宋体"/>
          <w:color w:val="auto"/>
          <w:szCs w:val="21"/>
          <w:highlight w:val="none"/>
        </w:rPr>
        <w:t>3.9、动态顺应性补偿：通过实时监测气道压力和系统顺应性计算管路中的潮气量损耗，并进行动态补偿。</w:t>
      </w:r>
      <w:r>
        <w:rPr>
          <w:rFonts w:ascii="宋体" w:hAnsi="宋体"/>
          <w:color w:val="auto"/>
          <w:szCs w:val="21"/>
          <w:highlight w:val="none"/>
        </w:rPr>
        <w:br w:type="textWrapping"/>
      </w:r>
      <w:r>
        <w:rPr>
          <w:rFonts w:ascii="宋体" w:hAnsi="宋体"/>
          <w:color w:val="auto"/>
          <w:szCs w:val="21"/>
          <w:highlight w:val="none"/>
        </w:rPr>
        <w:t>3.10、一体化电子低流量系统，定性显示新鲜气体利用效率：氧浓度和新鲜气体总流量在显示屏上直接设定，新鲜气体自动混合。可显示实时的新鲜气体消耗量。</w:t>
      </w:r>
      <w:r>
        <w:rPr>
          <w:rFonts w:ascii="宋体" w:hAnsi="宋体"/>
          <w:color w:val="auto"/>
          <w:szCs w:val="21"/>
          <w:highlight w:val="none"/>
        </w:rPr>
        <w:br w:type="textWrapping"/>
      </w:r>
      <w:r>
        <w:rPr>
          <w:rFonts w:ascii="宋体" w:hAnsi="宋体"/>
          <w:color w:val="auto"/>
          <w:szCs w:val="21"/>
          <w:highlight w:val="none"/>
        </w:rPr>
        <w:t>3.11、O2浓度调节范围：21-100%。</w:t>
      </w:r>
      <w:r>
        <w:rPr>
          <w:rFonts w:ascii="宋体" w:hAnsi="宋体"/>
          <w:color w:val="auto"/>
          <w:szCs w:val="21"/>
          <w:highlight w:val="none"/>
        </w:rPr>
        <w:br w:type="textWrapping"/>
      </w:r>
      <w:r>
        <w:rPr>
          <w:rFonts w:ascii="宋体" w:hAnsi="宋体"/>
          <w:b/>
          <w:color w:val="auto"/>
          <w:szCs w:val="21"/>
          <w:highlight w:val="none"/>
        </w:rPr>
        <w:t>4、通气模块功能：</w:t>
      </w:r>
      <w:r>
        <w:rPr>
          <w:rFonts w:ascii="宋体" w:hAnsi="宋体"/>
          <w:color w:val="auto"/>
          <w:szCs w:val="21"/>
          <w:highlight w:val="none"/>
        </w:rPr>
        <w:br w:type="textWrapping"/>
      </w:r>
      <w:r>
        <w:rPr>
          <w:rFonts w:ascii="宋体" w:hAnsi="宋体"/>
          <w:color w:val="auto"/>
          <w:szCs w:val="21"/>
          <w:highlight w:val="none"/>
        </w:rPr>
        <w:t>▲4.1、采用电动电控活塞式高精度呼吸机（非气动电控呼吸机），无需驱动气体。</w:t>
      </w:r>
      <w:r>
        <w:rPr>
          <w:rFonts w:ascii="宋体" w:hAnsi="宋体"/>
          <w:color w:val="auto"/>
          <w:szCs w:val="21"/>
          <w:highlight w:val="none"/>
        </w:rPr>
        <w:br w:type="textWrapping"/>
      </w:r>
      <w:r>
        <w:rPr>
          <w:rFonts w:ascii="宋体" w:hAnsi="宋体"/>
          <w:color w:val="auto"/>
          <w:szCs w:val="21"/>
          <w:highlight w:val="none"/>
        </w:rPr>
        <w:t>4.2、气体供应故障时，能采用室内空气给病人通气。</w:t>
      </w:r>
      <w:r>
        <w:rPr>
          <w:rFonts w:ascii="宋体" w:hAnsi="宋体"/>
          <w:color w:val="auto"/>
          <w:szCs w:val="21"/>
          <w:highlight w:val="none"/>
        </w:rPr>
        <w:br w:type="textWrapping"/>
      </w:r>
      <w:r>
        <w:rPr>
          <w:rFonts w:ascii="宋体" w:hAnsi="宋体"/>
          <w:color w:val="auto"/>
          <w:szCs w:val="21"/>
          <w:highlight w:val="none"/>
        </w:rPr>
        <w:t>4.3、一体化回路加热系统，易于安装，拆卸和清洗，消毒，有效的防止系统凝水。</w:t>
      </w:r>
      <w:r>
        <w:rPr>
          <w:rFonts w:ascii="宋体" w:hAnsi="宋体"/>
          <w:color w:val="auto"/>
          <w:szCs w:val="21"/>
          <w:highlight w:val="none"/>
        </w:rPr>
        <w:br w:type="textWrapping"/>
      </w:r>
      <w:r>
        <w:rPr>
          <w:rFonts w:ascii="宋体" w:hAnsi="宋体"/>
          <w:color w:val="auto"/>
          <w:szCs w:val="21"/>
          <w:highlight w:val="none"/>
        </w:rPr>
        <w:t>▲4.4、提供多种通气模式：包括手动/自主通气，容量控制通气（IPPV），同步容量控制通气（SIMV-VC），压力控制通气（PCV），同步压力控制通气（SIMV-PC）。</w:t>
      </w:r>
      <w:r>
        <w:rPr>
          <w:rFonts w:ascii="宋体" w:hAnsi="宋体"/>
          <w:color w:val="auto"/>
          <w:szCs w:val="21"/>
          <w:highlight w:val="none"/>
        </w:rPr>
        <w:br w:type="textWrapping"/>
      </w:r>
      <w:r>
        <w:rPr>
          <w:rFonts w:ascii="宋体" w:hAnsi="宋体"/>
          <w:color w:val="auto"/>
          <w:szCs w:val="21"/>
          <w:highlight w:val="none"/>
        </w:rPr>
        <w:br w:type="textWrapping"/>
      </w:r>
      <w:r>
        <w:rPr>
          <w:rFonts w:ascii="宋体" w:hAnsi="宋体"/>
          <w:color w:val="auto"/>
          <w:szCs w:val="21"/>
          <w:highlight w:val="none"/>
        </w:rPr>
        <w:t>▲4.5、配置Autoflow功能，叠加在容量控制通气模式中实现开放通气功能，全程支持病人的自主呼吸；当病人呼吸系统阻力或顺应性发生变化时，Autoflow能自动调节吸气流速，以最小的吸气压力实现目标潮气量。</w:t>
      </w:r>
      <w:r>
        <w:rPr>
          <w:rFonts w:ascii="宋体" w:hAnsi="宋体"/>
          <w:color w:val="auto"/>
          <w:szCs w:val="21"/>
          <w:highlight w:val="none"/>
        </w:rPr>
        <w:br w:type="textWrapping"/>
      </w:r>
      <w:r>
        <w:rPr>
          <w:rFonts w:ascii="宋体" w:hAnsi="宋体"/>
          <w:color w:val="auto"/>
          <w:szCs w:val="21"/>
          <w:highlight w:val="none"/>
        </w:rPr>
        <w:t>4.6、吸气流速：最大150升/分钟（压力模式下），180升/分钟（压力支持模式下）。</w:t>
      </w:r>
      <w:r>
        <w:rPr>
          <w:rFonts w:ascii="宋体" w:hAnsi="宋体"/>
          <w:color w:val="auto"/>
          <w:szCs w:val="21"/>
          <w:highlight w:val="none"/>
        </w:rPr>
        <w:br w:type="textWrapping"/>
      </w:r>
      <w:r>
        <w:rPr>
          <w:rFonts w:ascii="宋体" w:hAnsi="宋体"/>
          <w:color w:val="auto"/>
          <w:szCs w:val="21"/>
          <w:highlight w:val="none"/>
        </w:rPr>
        <w:t>4.7、与体重相关的通气参数预设：</w:t>
      </w:r>
      <w:r>
        <w:rPr>
          <w:rFonts w:ascii="宋体" w:hAnsi="宋体"/>
          <w:color w:val="auto"/>
          <w:szCs w:val="21"/>
          <w:highlight w:val="none"/>
        </w:rPr>
        <w:br w:type="textWrapping"/>
      </w:r>
      <w:r>
        <w:rPr>
          <w:rFonts w:ascii="宋体" w:hAnsi="宋体"/>
          <w:color w:val="auto"/>
          <w:szCs w:val="21"/>
          <w:highlight w:val="none"/>
        </w:rPr>
        <w:t>4.7.1、自动的计算和推荐病人详细的通气和报警参数设定，优化临床工作流程。</w:t>
      </w:r>
      <w:r>
        <w:rPr>
          <w:rFonts w:ascii="宋体" w:hAnsi="宋体"/>
          <w:color w:val="auto"/>
          <w:szCs w:val="21"/>
          <w:highlight w:val="none"/>
        </w:rPr>
        <w:br w:type="textWrapping"/>
      </w:r>
      <w:r>
        <w:rPr>
          <w:rFonts w:ascii="宋体" w:hAnsi="宋体"/>
          <w:color w:val="auto"/>
          <w:szCs w:val="21"/>
          <w:highlight w:val="none"/>
        </w:rPr>
        <w:t>4.7.2、医护人员可以自行设置潮气量建议参数范围。</w:t>
      </w:r>
      <w:r>
        <w:rPr>
          <w:rFonts w:ascii="宋体" w:hAnsi="宋体"/>
          <w:color w:val="auto"/>
          <w:szCs w:val="21"/>
          <w:highlight w:val="none"/>
        </w:rPr>
        <w:br w:type="textWrapping"/>
      </w:r>
      <w:r>
        <w:rPr>
          <w:rFonts w:ascii="宋体" w:hAnsi="宋体"/>
          <w:color w:val="auto"/>
          <w:szCs w:val="21"/>
          <w:highlight w:val="none"/>
        </w:rPr>
        <w:t>4.8、通气呼吸机参数及设置范围：</w:t>
      </w:r>
      <w:r>
        <w:rPr>
          <w:rFonts w:ascii="宋体" w:hAnsi="宋体"/>
          <w:color w:val="auto"/>
          <w:szCs w:val="21"/>
          <w:highlight w:val="none"/>
        </w:rPr>
        <w:br w:type="textWrapping"/>
      </w:r>
      <w:r>
        <w:rPr>
          <w:rFonts w:ascii="宋体" w:hAnsi="宋体"/>
          <w:color w:val="auto"/>
          <w:szCs w:val="21"/>
          <w:highlight w:val="none"/>
        </w:rPr>
        <w:t>▲4.8.1、潮气量设置范围：20 - 1400 [毫升](容量模式)，10-1400[毫升](压力模式)。</w:t>
      </w:r>
      <w:r>
        <w:rPr>
          <w:rFonts w:ascii="宋体" w:hAnsi="宋体"/>
          <w:color w:val="auto"/>
          <w:szCs w:val="21"/>
          <w:highlight w:val="none"/>
        </w:rPr>
        <w:br w:type="textWrapping"/>
      </w:r>
      <w:r>
        <w:rPr>
          <w:rFonts w:ascii="宋体" w:hAnsi="宋体"/>
          <w:color w:val="auto"/>
          <w:szCs w:val="21"/>
          <w:highlight w:val="none"/>
        </w:rPr>
        <w:t>4.8.2、吸气暂停设置范围： 0-60 [%]</w:t>
      </w:r>
      <w:r>
        <w:rPr>
          <w:rFonts w:ascii="宋体" w:hAnsi="宋体"/>
          <w:color w:val="auto"/>
          <w:szCs w:val="21"/>
          <w:highlight w:val="none"/>
        </w:rPr>
        <w:br w:type="textWrapping"/>
      </w:r>
      <w:r>
        <w:rPr>
          <w:rFonts w:ascii="宋体" w:hAnsi="宋体"/>
          <w:color w:val="auto"/>
          <w:szCs w:val="21"/>
          <w:highlight w:val="none"/>
        </w:rPr>
        <w:t>4.8.3、无内源性PEEP，PEEP设置范围：0 - 20[hPa] 。</w:t>
      </w:r>
      <w:r>
        <w:rPr>
          <w:rFonts w:ascii="宋体" w:hAnsi="宋体"/>
          <w:color w:val="auto"/>
          <w:szCs w:val="21"/>
          <w:highlight w:val="none"/>
        </w:rPr>
        <w:br w:type="textWrapping"/>
      </w:r>
      <w:r>
        <w:rPr>
          <w:rFonts w:ascii="宋体" w:hAnsi="宋体"/>
          <w:color w:val="auto"/>
          <w:szCs w:val="21"/>
          <w:highlight w:val="none"/>
        </w:rPr>
        <w:t>4.8.4、呼吸频率设置范围：3-100[次/分]</w:t>
      </w:r>
      <w:r>
        <w:rPr>
          <w:rFonts w:ascii="宋体" w:hAnsi="宋体"/>
          <w:color w:val="auto"/>
          <w:szCs w:val="21"/>
          <w:highlight w:val="none"/>
        </w:rPr>
        <w:tab/>
      </w:r>
      <w:r>
        <w:rPr>
          <w:rFonts w:ascii="宋体" w:hAnsi="宋体"/>
          <w:color w:val="auto"/>
          <w:szCs w:val="21"/>
          <w:highlight w:val="none"/>
        </w:rPr>
        <w:br w:type="textWrapping"/>
      </w:r>
      <w:r>
        <w:rPr>
          <w:rFonts w:ascii="宋体" w:hAnsi="宋体"/>
          <w:color w:val="auto"/>
          <w:szCs w:val="21"/>
          <w:highlight w:val="none"/>
        </w:rPr>
        <w:t>4.8.5、吸气时间设置范围：0.2-6.7秒</w:t>
      </w:r>
      <w:r>
        <w:rPr>
          <w:rFonts w:ascii="宋体" w:hAnsi="宋体"/>
          <w:color w:val="auto"/>
          <w:szCs w:val="21"/>
          <w:highlight w:val="none"/>
        </w:rPr>
        <w:br w:type="textWrapping"/>
      </w:r>
      <w:r>
        <w:rPr>
          <w:rFonts w:ascii="宋体" w:hAnsi="宋体"/>
          <w:color w:val="auto"/>
          <w:szCs w:val="21"/>
          <w:highlight w:val="none"/>
        </w:rPr>
        <w:t>4.8.6、吸呼比：5：1-1：99</w:t>
      </w:r>
      <w:r>
        <w:rPr>
          <w:rFonts w:ascii="宋体" w:hAnsi="宋体"/>
          <w:color w:val="auto"/>
          <w:szCs w:val="21"/>
          <w:highlight w:val="none"/>
        </w:rPr>
        <w:br w:type="textWrapping"/>
      </w:r>
      <w:r>
        <w:rPr>
          <w:rFonts w:ascii="宋体" w:hAnsi="宋体"/>
          <w:color w:val="auto"/>
          <w:szCs w:val="21"/>
          <w:highlight w:val="none"/>
        </w:rPr>
        <w:t>4.8.7、流量触发设置范围：0.3-15 [升/分钟]</w:t>
      </w:r>
      <w:r>
        <w:rPr>
          <w:rFonts w:ascii="宋体" w:hAnsi="宋体"/>
          <w:color w:val="auto"/>
          <w:szCs w:val="21"/>
          <w:highlight w:val="none"/>
        </w:rPr>
        <w:tab/>
      </w:r>
      <w:r>
        <w:rPr>
          <w:rFonts w:ascii="宋体" w:hAnsi="宋体"/>
          <w:color w:val="auto"/>
          <w:szCs w:val="21"/>
          <w:highlight w:val="none"/>
        </w:rPr>
        <w:br w:type="textWrapping"/>
      </w:r>
      <w:r>
        <w:rPr>
          <w:rFonts w:ascii="宋体" w:hAnsi="宋体"/>
          <w:color w:val="auto"/>
          <w:szCs w:val="21"/>
          <w:highlight w:val="none"/>
        </w:rPr>
        <w:t>4.8.8、吸气压力设置范围：压力控制模式下（PEEP+5）–70 [hPa]</w:t>
      </w:r>
      <w:r>
        <w:rPr>
          <w:rFonts w:ascii="宋体" w:hAnsi="宋体"/>
          <w:color w:val="auto"/>
          <w:szCs w:val="21"/>
          <w:highlight w:val="none"/>
        </w:rPr>
        <w:br w:type="textWrapping"/>
      </w:r>
      <w:r>
        <w:rPr>
          <w:rFonts w:ascii="宋体" w:hAnsi="宋体"/>
          <w:color w:val="auto"/>
          <w:szCs w:val="21"/>
          <w:highlight w:val="none"/>
        </w:rPr>
        <w:t>4.8.9、压力上升时间设置范围：0-2秒</w:t>
      </w:r>
      <w:r>
        <w:rPr>
          <w:rFonts w:ascii="宋体" w:hAnsi="宋体"/>
          <w:color w:val="auto"/>
          <w:szCs w:val="21"/>
          <w:highlight w:val="none"/>
        </w:rPr>
        <w:br w:type="textWrapping"/>
      </w:r>
      <w:r>
        <w:rPr>
          <w:rFonts w:ascii="宋体" w:hAnsi="宋体"/>
          <w:color w:val="auto"/>
          <w:szCs w:val="21"/>
          <w:highlight w:val="none"/>
        </w:rPr>
        <w:t>4.8.10、安全氧流量设置范围：0-12[升/分钟]</w:t>
      </w:r>
      <w:r>
        <w:rPr>
          <w:rFonts w:ascii="宋体" w:hAnsi="宋体"/>
          <w:color w:val="auto"/>
          <w:szCs w:val="21"/>
          <w:highlight w:val="none"/>
        </w:rPr>
        <w:tab/>
      </w:r>
      <w:r>
        <w:rPr>
          <w:rFonts w:ascii="宋体" w:hAnsi="宋体"/>
          <w:color w:val="auto"/>
          <w:szCs w:val="21"/>
          <w:highlight w:val="none"/>
        </w:rPr>
        <w:br w:type="textWrapping"/>
      </w:r>
      <w:r>
        <w:rPr>
          <w:rFonts w:ascii="宋体" w:hAnsi="宋体"/>
          <w:b/>
          <w:color w:val="auto"/>
          <w:szCs w:val="21"/>
          <w:highlight w:val="none"/>
        </w:rPr>
        <w:t>5、全面的的通气监测：</w:t>
      </w:r>
      <w:r>
        <w:rPr>
          <w:rFonts w:ascii="宋体" w:hAnsi="宋体"/>
          <w:b/>
          <w:color w:val="auto"/>
          <w:szCs w:val="21"/>
          <w:highlight w:val="none"/>
        </w:rPr>
        <w:br w:type="textWrapping"/>
      </w:r>
      <w:r>
        <w:rPr>
          <w:rFonts w:ascii="宋体" w:hAnsi="宋体"/>
          <w:color w:val="auto"/>
          <w:szCs w:val="21"/>
          <w:highlight w:val="none"/>
        </w:rPr>
        <w:t>5.1、气道压力监测：监测范围：-20－99[cmH2O] 。监测的参数：气道峰压，气道平均压，气道平台压，呼气末正压，实时压力波形。</w:t>
      </w:r>
      <w:r>
        <w:rPr>
          <w:rFonts w:ascii="宋体" w:hAnsi="宋体"/>
          <w:color w:val="auto"/>
          <w:szCs w:val="21"/>
          <w:highlight w:val="none"/>
        </w:rPr>
        <w:br w:type="textWrapping"/>
      </w:r>
      <w:r>
        <w:rPr>
          <w:rFonts w:ascii="宋体" w:hAnsi="宋体"/>
          <w:color w:val="auto"/>
          <w:szCs w:val="21"/>
          <w:highlight w:val="none"/>
        </w:rPr>
        <w:t>▲5.2、容量监测：铂金丝流量传感器（非压差式流量传感器），铂金丝被加热到180度高温，不受水汽影响，始终保持监测准确。</w:t>
      </w:r>
      <w:r>
        <w:rPr>
          <w:rFonts w:ascii="宋体" w:hAnsi="宋体"/>
          <w:color w:val="auto"/>
          <w:szCs w:val="21"/>
          <w:highlight w:val="none"/>
        </w:rPr>
        <w:br w:type="textWrapping"/>
      </w:r>
      <w:r>
        <w:rPr>
          <w:rFonts w:ascii="宋体" w:hAnsi="宋体"/>
          <w:color w:val="auto"/>
          <w:szCs w:val="21"/>
          <w:highlight w:val="none"/>
        </w:rPr>
        <w:t>5.2.1、潮气量：监测范围：0－1.5 L。具备容量，潮气量实时动态条柱图形。</w:t>
      </w:r>
      <w:r>
        <w:rPr>
          <w:rFonts w:ascii="宋体" w:hAnsi="宋体"/>
          <w:color w:val="auto"/>
          <w:szCs w:val="21"/>
          <w:highlight w:val="none"/>
        </w:rPr>
        <w:br w:type="textWrapping"/>
      </w:r>
      <w:r>
        <w:rPr>
          <w:rFonts w:ascii="宋体" w:hAnsi="宋体"/>
          <w:color w:val="auto"/>
          <w:szCs w:val="21"/>
          <w:highlight w:val="none"/>
        </w:rPr>
        <w:t>5.2.2、分钟容量：分钟通气量。</w:t>
      </w:r>
      <w:r>
        <w:rPr>
          <w:rFonts w:ascii="宋体" w:hAnsi="宋体"/>
          <w:color w:val="auto"/>
          <w:szCs w:val="21"/>
          <w:highlight w:val="none"/>
        </w:rPr>
        <w:br w:type="textWrapping"/>
      </w:r>
      <w:r>
        <w:rPr>
          <w:rFonts w:ascii="宋体" w:hAnsi="宋体"/>
          <w:color w:val="auto"/>
          <w:szCs w:val="21"/>
          <w:highlight w:val="none"/>
        </w:rPr>
        <w:t>5.3、呼吸频率：范围：2－99 [1/min]。</w:t>
      </w:r>
      <w:r>
        <w:rPr>
          <w:rFonts w:ascii="宋体" w:hAnsi="宋体"/>
          <w:color w:val="auto"/>
          <w:szCs w:val="21"/>
          <w:highlight w:val="none"/>
        </w:rPr>
        <w:br w:type="textWrapping"/>
      </w:r>
      <w:r>
        <w:rPr>
          <w:rFonts w:ascii="宋体" w:hAnsi="宋体"/>
          <w:color w:val="auto"/>
          <w:szCs w:val="21"/>
          <w:highlight w:val="none"/>
        </w:rPr>
        <w:t>5.4、氧浓度监测范围：18－100 [Vol%]。采用顺磁氧技术，无耗材。</w:t>
      </w:r>
      <w:r>
        <w:rPr>
          <w:rFonts w:ascii="宋体" w:hAnsi="宋体"/>
          <w:color w:val="auto"/>
          <w:szCs w:val="21"/>
          <w:highlight w:val="none"/>
        </w:rPr>
        <w:br w:type="textWrapping"/>
      </w:r>
      <w:r>
        <w:rPr>
          <w:rFonts w:ascii="宋体" w:hAnsi="宋体"/>
          <w:color w:val="auto"/>
          <w:szCs w:val="21"/>
          <w:highlight w:val="none"/>
        </w:rPr>
        <w:t>5.5、具有呼吸波形和ETCO2波形监测。</w:t>
      </w:r>
      <w:r>
        <w:rPr>
          <w:rFonts w:ascii="宋体" w:hAnsi="宋体"/>
          <w:color w:val="auto"/>
          <w:szCs w:val="21"/>
          <w:highlight w:val="none"/>
        </w:rPr>
        <w:br w:type="textWrapping"/>
      </w:r>
      <w:r>
        <w:rPr>
          <w:rFonts w:ascii="宋体" w:hAnsi="宋体"/>
          <w:color w:val="auto"/>
          <w:szCs w:val="21"/>
          <w:highlight w:val="none"/>
        </w:rPr>
        <w:t>5.6、数据存储与回顾：</w:t>
      </w:r>
      <w:r>
        <w:rPr>
          <w:rFonts w:ascii="宋体" w:hAnsi="宋体"/>
          <w:color w:val="auto"/>
          <w:szCs w:val="21"/>
          <w:highlight w:val="none"/>
        </w:rPr>
        <w:br w:type="textWrapping"/>
      </w:r>
      <w:r>
        <w:rPr>
          <w:rFonts w:ascii="宋体" w:hAnsi="宋体"/>
          <w:color w:val="auto"/>
          <w:szCs w:val="21"/>
          <w:highlight w:val="none"/>
        </w:rPr>
        <w:t>5.6.1、可显示监测开始后的监测数据趋势，最长显示8小时的趋势。</w:t>
      </w:r>
      <w:r>
        <w:rPr>
          <w:rFonts w:ascii="宋体" w:hAnsi="宋体"/>
          <w:color w:val="auto"/>
          <w:szCs w:val="21"/>
          <w:highlight w:val="none"/>
        </w:rPr>
        <w:br w:type="textWrapping"/>
      </w:r>
      <w:r>
        <w:rPr>
          <w:rFonts w:ascii="宋体" w:hAnsi="宋体"/>
          <w:color w:val="auto"/>
          <w:szCs w:val="21"/>
          <w:highlight w:val="none"/>
        </w:rPr>
        <w:t>5.6.2、同时自由组合显示四道趋势图。</w:t>
      </w:r>
      <w:r>
        <w:rPr>
          <w:rFonts w:ascii="宋体" w:hAnsi="宋体"/>
          <w:color w:val="auto"/>
          <w:szCs w:val="21"/>
          <w:highlight w:val="none"/>
        </w:rPr>
        <w:br w:type="textWrapping"/>
      </w:r>
      <w:r>
        <w:rPr>
          <w:rFonts w:ascii="宋体" w:hAnsi="宋体"/>
          <w:color w:val="auto"/>
          <w:szCs w:val="21"/>
          <w:highlight w:val="none"/>
        </w:rPr>
        <w:t>▲5.7、一体化内置气体监测模块：氧气、笑气、二氧化碳和五种麻醉剂气体自动识别。并能同时显示两种麻药浓度；最低肺泡麻药浓度(MAC)监测，并能根据年龄自动校正，包括麻药和笑气。</w:t>
      </w:r>
      <w:r>
        <w:rPr>
          <w:rFonts w:ascii="宋体" w:hAnsi="宋体"/>
          <w:color w:val="auto"/>
          <w:szCs w:val="21"/>
          <w:highlight w:val="none"/>
        </w:rPr>
        <w:br w:type="textWrapping"/>
      </w:r>
      <w:r>
        <w:rPr>
          <w:rFonts w:ascii="宋体" w:hAnsi="宋体"/>
          <w:b/>
          <w:color w:val="auto"/>
          <w:szCs w:val="21"/>
          <w:highlight w:val="none"/>
        </w:rPr>
        <w:t>6、报警显示和操作要求：</w:t>
      </w:r>
      <w:r>
        <w:rPr>
          <w:rFonts w:ascii="宋体" w:hAnsi="宋体"/>
          <w:b/>
          <w:color w:val="auto"/>
          <w:szCs w:val="21"/>
          <w:highlight w:val="none"/>
        </w:rPr>
        <w:br w:type="textWrapping"/>
      </w:r>
      <w:r>
        <w:rPr>
          <w:rFonts w:ascii="宋体" w:hAnsi="宋体"/>
          <w:color w:val="auto"/>
          <w:szCs w:val="21"/>
          <w:highlight w:val="none"/>
        </w:rPr>
        <w:t>6.1、中文报警菜单，同时屏幕显示报警信息和报警限值屏幕，以便消除报警；报警限制自动设定。</w:t>
      </w:r>
      <w:r>
        <w:rPr>
          <w:rFonts w:ascii="宋体" w:hAnsi="宋体"/>
          <w:color w:val="auto"/>
          <w:szCs w:val="21"/>
          <w:highlight w:val="none"/>
        </w:rPr>
        <w:tab/>
      </w:r>
      <w:r>
        <w:rPr>
          <w:rFonts w:ascii="宋体" w:hAnsi="宋体"/>
          <w:color w:val="auto"/>
          <w:szCs w:val="21"/>
          <w:highlight w:val="none"/>
        </w:rPr>
        <w:br w:type="textWrapping"/>
      </w:r>
      <w:r>
        <w:rPr>
          <w:rFonts w:ascii="宋体" w:hAnsi="宋体"/>
          <w:color w:val="auto"/>
          <w:szCs w:val="21"/>
          <w:highlight w:val="none"/>
        </w:rPr>
        <w:br w:type="textWrapping"/>
      </w:r>
      <w:r>
        <w:rPr>
          <w:rFonts w:ascii="宋体" w:hAnsi="宋体"/>
          <w:color w:val="auto"/>
          <w:szCs w:val="21"/>
          <w:highlight w:val="none"/>
        </w:rPr>
        <w:t>6.2、报警内容：气道压力报警，分钟通气量报警，管路脱落或阻塞报警，呼出气流控制阀故障报警等。</w:t>
      </w:r>
      <w:r>
        <w:rPr>
          <w:rFonts w:ascii="宋体" w:hAnsi="宋体"/>
          <w:color w:val="auto"/>
          <w:szCs w:val="21"/>
          <w:highlight w:val="none"/>
        </w:rPr>
        <w:br w:type="textWrapping"/>
      </w:r>
      <w:r>
        <w:rPr>
          <w:rFonts w:ascii="宋体" w:hAnsi="宋体"/>
          <w:color w:val="auto"/>
          <w:szCs w:val="21"/>
          <w:highlight w:val="none"/>
        </w:rPr>
        <w:t>6.3、HLM模式：确保患者在使用心肺复苏设备（HLM）时，监测被抑制；所有监测到的气体浓度独立于通气相，窒息报警抑制，HLM模式可以与所有激活的通气模式连用。</w:t>
      </w:r>
      <w:r>
        <w:rPr>
          <w:rFonts w:ascii="宋体" w:hAnsi="宋体"/>
          <w:color w:val="auto"/>
          <w:szCs w:val="21"/>
          <w:highlight w:val="none"/>
        </w:rPr>
        <w:br w:type="textWrapping"/>
      </w:r>
      <w:r>
        <w:rPr>
          <w:rFonts w:ascii="宋体" w:hAnsi="宋体"/>
          <w:b/>
          <w:color w:val="auto"/>
          <w:szCs w:val="21"/>
          <w:highlight w:val="none"/>
        </w:rPr>
        <w:t>7、具备全自动系统自检功能：包括麻药罐模块和麻醉呼吸模块。并显示自检结果和排除错误的提示，帮助临床快速分析设备故障原因。</w:t>
      </w:r>
      <w:r>
        <w:rPr>
          <w:rFonts w:ascii="宋体" w:hAnsi="宋体"/>
          <w:b/>
          <w:color w:val="auto"/>
          <w:szCs w:val="21"/>
          <w:highlight w:val="none"/>
        </w:rPr>
        <w:br w:type="textWrapping"/>
      </w:r>
      <w:r>
        <w:rPr>
          <w:rFonts w:ascii="宋体" w:hAnsi="宋体"/>
          <w:b/>
          <w:color w:val="auto"/>
          <w:szCs w:val="21"/>
          <w:highlight w:val="none"/>
        </w:rPr>
        <w:t>8、适用于134 °C蒸汽灭菌的部件：与病人呼出气体接触的集成呼吸系统，手动皮囊和面罩等。</w:t>
      </w:r>
      <w:r>
        <w:rPr>
          <w:rFonts w:ascii="宋体" w:hAnsi="宋体"/>
          <w:b/>
          <w:color w:val="auto"/>
          <w:szCs w:val="21"/>
          <w:highlight w:val="none"/>
        </w:rPr>
        <w:br w:type="textWrapping"/>
      </w:r>
      <w:r>
        <w:rPr>
          <w:rFonts w:ascii="宋体" w:hAnsi="宋体"/>
          <w:b/>
          <w:color w:val="auto"/>
          <w:szCs w:val="21"/>
          <w:highlight w:val="none"/>
        </w:rPr>
        <w:t>9、通讯数据：≥3个RS232串行接口，采用国际标准的Medibus传输协议，可输出所有新鲜气体流量、通气和氧浓度数据，流速波形和压力波形，以便临床分析。</w:t>
      </w:r>
      <w:r>
        <w:rPr>
          <w:rFonts w:ascii="宋体" w:hAnsi="宋体"/>
          <w:b/>
          <w:color w:val="auto"/>
          <w:szCs w:val="21"/>
          <w:highlight w:val="none"/>
        </w:rPr>
        <w:br w:type="textWrapping"/>
      </w:r>
      <w:r>
        <w:rPr>
          <w:rFonts w:ascii="宋体" w:hAnsi="宋体"/>
          <w:b/>
          <w:color w:val="auto"/>
          <w:szCs w:val="21"/>
          <w:highlight w:val="none"/>
        </w:rPr>
        <w:t>10、配置同品牌AGSS麻醉废气排放系统：</w:t>
      </w:r>
      <w:r>
        <w:rPr>
          <w:rFonts w:ascii="宋体" w:hAnsi="宋体"/>
          <w:b/>
          <w:color w:val="auto"/>
          <w:szCs w:val="21"/>
          <w:highlight w:val="none"/>
        </w:rPr>
        <w:br w:type="textWrapping"/>
      </w:r>
      <w:r>
        <w:rPr>
          <w:rFonts w:ascii="宋体" w:hAnsi="宋体"/>
          <w:b/>
          <w:color w:val="auto"/>
          <w:szCs w:val="21"/>
          <w:highlight w:val="none"/>
        </w:rPr>
        <w:t>11、监护仪技术参数：</w:t>
      </w:r>
      <w:r>
        <w:rPr>
          <w:rFonts w:ascii="宋体" w:hAnsi="宋体"/>
          <w:b/>
          <w:color w:val="auto"/>
          <w:szCs w:val="21"/>
          <w:highlight w:val="none"/>
        </w:rPr>
        <w:br w:type="textWrapping"/>
      </w:r>
      <w:r>
        <w:rPr>
          <w:rFonts w:ascii="宋体" w:hAnsi="宋体"/>
          <w:color w:val="auto"/>
          <w:szCs w:val="21"/>
          <w:highlight w:val="none"/>
        </w:rPr>
        <w:t>11.1. ≥20’彩色TFT操作触摸屏，分辨率≥1280×1024，工业级的中央处理器，全新无风扇散热设计降低了噪音和粉尘，支持洁净环境下的使用。可升级双屏监测。</w:t>
      </w:r>
      <w:r>
        <w:rPr>
          <w:rFonts w:ascii="宋体" w:hAnsi="宋体"/>
          <w:color w:val="auto"/>
          <w:szCs w:val="21"/>
          <w:highlight w:val="none"/>
        </w:rPr>
        <w:br w:type="textWrapping"/>
      </w:r>
      <w:r>
        <w:rPr>
          <w:rFonts w:ascii="宋体" w:hAnsi="宋体"/>
          <w:color w:val="auto"/>
          <w:szCs w:val="21"/>
          <w:highlight w:val="none"/>
        </w:rPr>
        <w:t>11.2. 具有大字体显示功能，≥同屏32道波形，≥64个参数，存储≥96小时的趋势。</w:t>
      </w:r>
      <w:r>
        <w:rPr>
          <w:rFonts w:ascii="宋体" w:hAnsi="宋体"/>
          <w:color w:val="auto"/>
          <w:szCs w:val="21"/>
          <w:highlight w:val="none"/>
        </w:rPr>
        <w:br w:type="textWrapping"/>
      </w:r>
      <w:r>
        <w:rPr>
          <w:rFonts w:ascii="宋体" w:hAnsi="宋体"/>
          <w:color w:val="auto"/>
          <w:szCs w:val="21"/>
          <w:highlight w:val="none"/>
        </w:rPr>
        <w:t>11.3. 全面的病患信息：连接医院影像网络显示动态和静态图形，如同屏幕获取X光，扫描和核磁共振的影像，以及综合多信息源：如生命体征，实验室数据，病人信息管理系统，无需增加服务器,并且集成其他信息时,屏幕自动调整,其他信息不得遮盖实时监护信息。</w:t>
      </w:r>
      <w:r>
        <w:rPr>
          <w:rFonts w:ascii="宋体" w:hAnsi="宋体"/>
          <w:color w:val="auto"/>
          <w:szCs w:val="21"/>
          <w:highlight w:val="none"/>
        </w:rPr>
        <w:br w:type="textWrapping"/>
      </w:r>
      <w:r>
        <w:rPr>
          <w:rFonts w:ascii="宋体" w:hAnsi="宋体"/>
          <w:color w:val="auto"/>
          <w:szCs w:val="21"/>
          <w:highlight w:val="none"/>
        </w:rPr>
        <w:t>11.4. 能装载医院信息系统作为终端，输入和操作，无需增加服务器。</w:t>
      </w:r>
      <w:r>
        <w:rPr>
          <w:rFonts w:ascii="宋体" w:hAnsi="宋体"/>
          <w:color w:val="auto"/>
          <w:szCs w:val="21"/>
          <w:highlight w:val="none"/>
        </w:rPr>
        <w:br w:type="textWrapping"/>
      </w:r>
      <w:r>
        <w:rPr>
          <w:rFonts w:ascii="宋体" w:hAnsi="宋体"/>
          <w:color w:val="auto"/>
          <w:szCs w:val="21"/>
          <w:highlight w:val="none"/>
        </w:rPr>
        <w:t>11.5. 基本参数：ECG/RESP，NIBP，SPO2，2道有创监测，2道体温监测。</w:t>
      </w:r>
      <w:r>
        <w:rPr>
          <w:rFonts w:ascii="宋体" w:hAnsi="宋体"/>
          <w:color w:val="auto"/>
          <w:szCs w:val="21"/>
          <w:highlight w:val="none"/>
        </w:rPr>
        <w:br w:type="textWrapping"/>
      </w:r>
      <w:r>
        <w:rPr>
          <w:rFonts w:ascii="宋体" w:hAnsi="宋体"/>
          <w:color w:val="auto"/>
          <w:szCs w:val="21"/>
          <w:highlight w:val="none"/>
        </w:rPr>
        <w:t>11.6. 缆线管理：监护仪机器端只需一根缆线连接专业的插件盒，可实现ECG，RESP，SPO2， 体温监测功能。</w:t>
      </w:r>
      <w:r>
        <w:rPr>
          <w:rFonts w:ascii="宋体" w:hAnsi="宋体"/>
          <w:color w:val="auto"/>
          <w:szCs w:val="21"/>
          <w:highlight w:val="none"/>
        </w:rPr>
        <w:br w:type="textWrapping"/>
      </w:r>
      <w:r>
        <w:rPr>
          <w:rFonts w:ascii="宋体" w:hAnsi="宋体"/>
          <w:color w:val="auto"/>
          <w:szCs w:val="21"/>
          <w:highlight w:val="none"/>
        </w:rPr>
        <w:t>11.7. 功能插件，可以升级，功能插件可在监护仪之间互换。</w:t>
      </w:r>
      <w:r>
        <w:rPr>
          <w:rFonts w:ascii="宋体" w:hAnsi="宋体"/>
          <w:color w:val="auto"/>
          <w:szCs w:val="21"/>
          <w:highlight w:val="none"/>
        </w:rPr>
        <w:br w:type="textWrapping"/>
      </w:r>
      <w:r>
        <w:rPr>
          <w:rFonts w:ascii="宋体" w:hAnsi="宋体"/>
          <w:color w:val="auto"/>
          <w:szCs w:val="21"/>
          <w:highlight w:val="none"/>
        </w:rPr>
        <w:t>11.8. 具软硬件有抗高频及除颤干扰功能。</w:t>
      </w:r>
      <w:r>
        <w:rPr>
          <w:rFonts w:ascii="宋体" w:hAnsi="宋体"/>
          <w:color w:val="auto"/>
          <w:szCs w:val="21"/>
          <w:highlight w:val="none"/>
        </w:rPr>
        <w:br w:type="textWrapping"/>
      </w:r>
      <w:r>
        <w:rPr>
          <w:rFonts w:ascii="宋体" w:hAnsi="宋体"/>
          <w:color w:val="auto"/>
          <w:szCs w:val="21"/>
          <w:highlight w:val="none"/>
        </w:rPr>
        <w:t>11.9. 心电监测：具有≥10心律失常分析及报警，且具备自定义心律失常及相关报警功能（适用于新生儿、儿童、成人）。</w:t>
      </w:r>
      <w:r>
        <w:rPr>
          <w:rFonts w:ascii="宋体" w:hAnsi="宋体"/>
          <w:color w:val="auto"/>
          <w:szCs w:val="21"/>
          <w:highlight w:val="none"/>
        </w:rPr>
        <w:br w:type="textWrapping"/>
      </w:r>
      <w:r>
        <w:rPr>
          <w:rFonts w:ascii="宋体" w:hAnsi="宋体"/>
          <w:color w:val="auto"/>
          <w:szCs w:val="21"/>
          <w:highlight w:val="none"/>
        </w:rPr>
        <w:t>▲11.10. 采用监护仪同品牌专利心电导联，只需单一导联按传统导联放置即可实现3导、5 导、6导心电监测。</w:t>
      </w:r>
      <w:r>
        <w:rPr>
          <w:rFonts w:ascii="宋体" w:hAnsi="宋体"/>
          <w:color w:val="auto"/>
          <w:szCs w:val="21"/>
          <w:highlight w:val="none"/>
        </w:rPr>
        <w:br w:type="textWrapping"/>
      </w:r>
      <w:r>
        <w:rPr>
          <w:rFonts w:ascii="宋体" w:hAnsi="宋体"/>
          <w:color w:val="auto"/>
          <w:szCs w:val="21"/>
          <w:highlight w:val="none"/>
        </w:rPr>
        <w:t>11.11. 能升级12导联心电为10电极金标准实测心电而非5导联计算心电；实时同屏监测导联心电，自动起搏信号识别，12导联ST段分析或直接直观反映12导ST段变化。</w:t>
      </w:r>
      <w:r>
        <w:rPr>
          <w:rFonts w:ascii="宋体" w:hAnsi="宋体"/>
          <w:color w:val="auto"/>
          <w:szCs w:val="21"/>
          <w:highlight w:val="none"/>
        </w:rPr>
        <w:br w:type="textWrapping"/>
      </w:r>
      <w:r>
        <w:rPr>
          <w:rFonts w:ascii="宋体" w:hAnsi="宋体"/>
          <w:color w:val="auto"/>
          <w:szCs w:val="21"/>
          <w:highlight w:val="none"/>
        </w:rPr>
        <w:t>11.12. SPO2: 具备抗躁动和低灌注的功能，Nellcor或Masimo血氧探头可选并可在使用后随时相互替换。</w:t>
      </w:r>
      <w:r>
        <w:rPr>
          <w:rFonts w:ascii="宋体" w:hAnsi="宋体"/>
          <w:color w:val="auto"/>
          <w:szCs w:val="21"/>
          <w:highlight w:val="none"/>
        </w:rPr>
        <w:br w:type="textWrapping"/>
      </w:r>
      <w:r>
        <w:rPr>
          <w:rFonts w:ascii="宋体" w:hAnsi="宋体"/>
          <w:color w:val="auto"/>
          <w:szCs w:val="21"/>
          <w:highlight w:val="none"/>
        </w:rPr>
        <w:t>11.13.有创压监测：测量范围10－270mmHg, 数字显示：收缩压、舒张压和平均压。</w:t>
      </w:r>
      <w:r>
        <w:rPr>
          <w:rFonts w:ascii="宋体" w:hAnsi="宋体"/>
          <w:color w:val="auto"/>
          <w:szCs w:val="21"/>
          <w:highlight w:val="none"/>
        </w:rPr>
        <w:br w:type="textWrapping"/>
      </w:r>
      <w:r>
        <w:rPr>
          <w:rFonts w:ascii="宋体" w:hAnsi="宋体"/>
          <w:color w:val="auto"/>
          <w:szCs w:val="21"/>
          <w:highlight w:val="none"/>
        </w:rPr>
        <w:t>11.14. 有创压力套件：每台均能同时支持2道有创压力的测量，且有创压力和体温监测可同时进行。</w:t>
      </w:r>
    </w:p>
    <w:p>
      <w:pPr>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12.</w:t>
      </w:r>
      <w:r>
        <w:rPr>
          <w:rFonts w:ascii="宋体" w:hAnsi="宋体"/>
          <w:b/>
          <w:color w:val="auto"/>
          <w:szCs w:val="21"/>
          <w:highlight w:val="none"/>
        </w:rPr>
        <w:t>配置清单</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12.1</w:t>
      </w:r>
      <w:r>
        <w:rPr>
          <w:rFonts w:hint="eastAsia" w:ascii="宋体" w:hAnsi="宋体"/>
          <w:color w:val="auto"/>
          <w:szCs w:val="21"/>
          <w:highlight w:val="none"/>
        </w:rPr>
        <w:tab/>
      </w:r>
      <w:r>
        <w:rPr>
          <w:rFonts w:hint="eastAsia" w:ascii="宋体" w:hAnsi="宋体"/>
          <w:color w:val="auto"/>
          <w:szCs w:val="21"/>
          <w:highlight w:val="none"/>
        </w:rPr>
        <w:t>麻醉机主机</w:t>
      </w:r>
      <w:r>
        <w:rPr>
          <w:rFonts w:hint="eastAsia" w:ascii="宋体" w:hAnsi="宋体"/>
          <w:color w:val="auto"/>
          <w:szCs w:val="21"/>
          <w:highlight w:val="none"/>
        </w:rPr>
        <w:tab/>
      </w:r>
      <w:r>
        <w:rPr>
          <w:rFonts w:hint="eastAsia" w:ascii="宋体" w:hAnsi="宋体"/>
          <w:color w:val="auto"/>
          <w:szCs w:val="21"/>
          <w:highlight w:val="none"/>
        </w:rPr>
        <w:t>1台</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12.2</w:t>
      </w:r>
      <w:r>
        <w:rPr>
          <w:rFonts w:hint="eastAsia" w:ascii="宋体" w:hAnsi="宋体"/>
          <w:color w:val="auto"/>
          <w:szCs w:val="21"/>
          <w:highlight w:val="none"/>
        </w:rPr>
        <w:tab/>
      </w:r>
      <w:r>
        <w:rPr>
          <w:rFonts w:hint="eastAsia" w:ascii="宋体" w:hAnsi="宋体"/>
          <w:color w:val="auto"/>
          <w:szCs w:val="21"/>
          <w:highlight w:val="none"/>
        </w:rPr>
        <w:t>七氟醚挥发罐</w:t>
      </w:r>
      <w:r>
        <w:rPr>
          <w:rFonts w:hint="eastAsia" w:ascii="宋体" w:hAnsi="宋体"/>
          <w:color w:val="auto"/>
          <w:szCs w:val="21"/>
          <w:highlight w:val="none"/>
        </w:rPr>
        <w:tab/>
      </w:r>
      <w:r>
        <w:rPr>
          <w:rFonts w:hint="eastAsia" w:ascii="宋体" w:hAnsi="宋体"/>
          <w:color w:val="auto"/>
          <w:szCs w:val="21"/>
          <w:highlight w:val="none"/>
        </w:rPr>
        <w:t>1套</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12.3</w:t>
      </w:r>
      <w:r>
        <w:rPr>
          <w:rFonts w:hint="eastAsia" w:ascii="宋体" w:hAnsi="宋体"/>
          <w:color w:val="auto"/>
          <w:szCs w:val="21"/>
          <w:highlight w:val="none"/>
        </w:rPr>
        <w:tab/>
      </w:r>
      <w:r>
        <w:rPr>
          <w:rFonts w:hint="eastAsia" w:ascii="宋体" w:hAnsi="宋体"/>
          <w:color w:val="auto"/>
          <w:szCs w:val="21"/>
          <w:highlight w:val="none"/>
        </w:rPr>
        <w:t>流量传感器</w:t>
      </w:r>
      <w:r>
        <w:rPr>
          <w:rFonts w:hint="eastAsia" w:ascii="宋体" w:hAnsi="宋体"/>
          <w:color w:val="auto"/>
          <w:szCs w:val="21"/>
          <w:highlight w:val="none"/>
        </w:rPr>
        <w:tab/>
      </w:r>
      <w:r>
        <w:rPr>
          <w:rFonts w:hint="eastAsia" w:ascii="宋体" w:hAnsi="宋体"/>
          <w:color w:val="auto"/>
          <w:szCs w:val="21"/>
          <w:highlight w:val="none"/>
        </w:rPr>
        <w:t>5个</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12.4</w:t>
      </w:r>
      <w:r>
        <w:rPr>
          <w:rFonts w:hint="eastAsia" w:ascii="宋体" w:hAnsi="宋体"/>
          <w:color w:val="auto"/>
          <w:szCs w:val="21"/>
          <w:highlight w:val="none"/>
        </w:rPr>
        <w:tab/>
      </w:r>
      <w:r>
        <w:rPr>
          <w:rFonts w:hint="eastAsia" w:ascii="宋体" w:hAnsi="宋体"/>
          <w:color w:val="auto"/>
          <w:szCs w:val="21"/>
          <w:highlight w:val="none"/>
        </w:rPr>
        <w:t>一次性麻醉回路含一次性皮囊</w:t>
      </w:r>
      <w:r>
        <w:rPr>
          <w:rFonts w:hint="eastAsia" w:ascii="宋体" w:hAnsi="宋体"/>
          <w:color w:val="auto"/>
          <w:szCs w:val="21"/>
          <w:highlight w:val="none"/>
        </w:rPr>
        <w:tab/>
      </w:r>
      <w:r>
        <w:rPr>
          <w:rFonts w:hint="eastAsia" w:ascii="宋体" w:hAnsi="宋体"/>
          <w:color w:val="auto"/>
          <w:szCs w:val="21"/>
          <w:highlight w:val="none"/>
        </w:rPr>
        <w:t>1箱</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12.5</w:t>
      </w:r>
      <w:r>
        <w:rPr>
          <w:rFonts w:hint="eastAsia" w:ascii="宋体" w:hAnsi="宋体"/>
          <w:color w:val="auto"/>
          <w:szCs w:val="21"/>
          <w:highlight w:val="none"/>
        </w:rPr>
        <w:tab/>
      </w:r>
      <w:r>
        <w:rPr>
          <w:rFonts w:hint="eastAsia" w:ascii="宋体" w:hAnsi="宋体"/>
          <w:color w:val="auto"/>
          <w:szCs w:val="21"/>
          <w:highlight w:val="none"/>
        </w:rPr>
        <w:t>氧气连接管道</w:t>
      </w:r>
      <w:r>
        <w:rPr>
          <w:rFonts w:hint="eastAsia" w:ascii="宋体" w:hAnsi="宋体"/>
          <w:color w:val="auto"/>
          <w:szCs w:val="21"/>
          <w:highlight w:val="none"/>
        </w:rPr>
        <w:tab/>
      </w:r>
      <w:r>
        <w:rPr>
          <w:rFonts w:hint="eastAsia" w:ascii="宋体" w:hAnsi="宋体"/>
          <w:color w:val="auto"/>
          <w:szCs w:val="21"/>
          <w:highlight w:val="none"/>
        </w:rPr>
        <w:t>1根</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12.6</w:t>
      </w:r>
      <w:r>
        <w:rPr>
          <w:rFonts w:hint="eastAsia" w:ascii="宋体" w:hAnsi="宋体"/>
          <w:color w:val="auto"/>
          <w:szCs w:val="21"/>
          <w:highlight w:val="none"/>
        </w:rPr>
        <w:tab/>
      </w:r>
      <w:r>
        <w:rPr>
          <w:rFonts w:hint="eastAsia" w:ascii="宋体" w:hAnsi="宋体"/>
          <w:color w:val="auto"/>
          <w:szCs w:val="21"/>
          <w:highlight w:val="none"/>
        </w:rPr>
        <w:t>空气连接管道</w:t>
      </w:r>
      <w:r>
        <w:rPr>
          <w:rFonts w:hint="eastAsia" w:ascii="宋体" w:hAnsi="宋体"/>
          <w:color w:val="auto"/>
          <w:szCs w:val="21"/>
          <w:highlight w:val="none"/>
        </w:rPr>
        <w:tab/>
      </w:r>
      <w:r>
        <w:rPr>
          <w:rFonts w:hint="eastAsia" w:ascii="宋体" w:hAnsi="宋体"/>
          <w:color w:val="auto"/>
          <w:szCs w:val="21"/>
          <w:highlight w:val="none"/>
        </w:rPr>
        <w:t>1根</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12.7</w:t>
      </w:r>
      <w:r>
        <w:rPr>
          <w:rFonts w:hint="eastAsia" w:ascii="宋体" w:hAnsi="宋体"/>
          <w:color w:val="auto"/>
          <w:szCs w:val="21"/>
          <w:highlight w:val="none"/>
        </w:rPr>
        <w:tab/>
      </w:r>
      <w:r>
        <w:rPr>
          <w:rFonts w:hint="eastAsia" w:ascii="宋体" w:hAnsi="宋体"/>
          <w:color w:val="auto"/>
          <w:szCs w:val="21"/>
          <w:highlight w:val="none"/>
        </w:rPr>
        <w:t>笑气连接管道</w:t>
      </w:r>
      <w:r>
        <w:rPr>
          <w:rFonts w:hint="eastAsia" w:ascii="宋体" w:hAnsi="宋体"/>
          <w:color w:val="auto"/>
          <w:szCs w:val="21"/>
          <w:highlight w:val="none"/>
        </w:rPr>
        <w:tab/>
      </w:r>
      <w:r>
        <w:rPr>
          <w:rFonts w:hint="eastAsia" w:ascii="宋体" w:hAnsi="宋体"/>
          <w:color w:val="auto"/>
          <w:szCs w:val="21"/>
          <w:highlight w:val="none"/>
        </w:rPr>
        <w:t>1根</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12.8</w:t>
      </w:r>
      <w:r>
        <w:rPr>
          <w:rFonts w:hint="eastAsia" w:ascii="宋体" w:hAnsi="宋体"/>
          <w:color w:val="auto"/>
          <w:szCs w:val="21"/>
          <w:highlight w:val="none"/>
        </w:rPr>
        <w:tab/>
      </w:r>
      <w:r>
        <w:rPr>
          <w:rFonts w:hint="eastAsia" w:ascii="宋体" w:hAnsi="宋体"/>
          <w:color w:val="auto"/>
          <w:szCs w:val="21"/>
          <w:highlight w:val="none"/>
        </w:rPr>
        <w:t>一次性麻醉面罩</w:t>
      </w:r>
      <w:r>
        <w:rPr>
          <w:rFonts w:hint="eastAsia" w:ascii="宋体" w:hAnsi="宋体"/>
          <w:color w:val="auto"/>
          <w:szCs w:val="21"/>
          <w:highlight w:val="none"/>
        </w:rPr>
        <w:tab/>
      </w:r>
      <w:r>
        <w:rPr>
          <w:rFonts w:hint="eastAsia" w:ascii="宋体" w:hAnsi="宋体"/>
          <w:color w:val="auto"/>
          <w:szCs w:val="21"/>
          <w:highlight w:val="none"/>
        </w:rPr>
        <w:t>1箱</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12.9</w:t>
      </w:r>
      <w:r>
        <w:rPr>
          <w:rFonts w:hint="eastAsia" w:ascii="宋体" w:hAnsi="宋体"/>
          <w:color w:val="auto"/>
          <w:szCs w:val="21"/>
          <w:highlight w:val="none"/>
        </w:rPr>
        <w:tab/>
      </w:r>
      <w:r>
        <w:rPr>
          <w:rFonts w:hint="eastAsia" w:ascii="宋体" w:hAnsi="宋体"/>
          <w:color w:val="auto"/>
          <w:szCs w:val="21"/>
          <w:highlight w:val="none"/>
        </w:rPr>
        <w:t>采样管</w:t>
      </w:r>
      <w:r>
        <w:rPr>
          <w:rFonts w:hint="eastAsia" w:ascii="宋体" w:hAnsi="宋体"/>
          <w:color w:val="auto"/>
          <w:szCs w:val="21"/>
          <w:highlight w:val="none"/>
        </w:rPr>
        <w:tab/>
      </w:r>
      <w:r>
        <w:rPr>
          <w:rFonts w:hint="eastAsia" w:ascii="宋体" w:hAnsi="宋体"/>
          <w:color w:val="auto"/>
          <w:szCs w:val="21"/>
          <w:highlight w:val="none"/>
        </w:rPr>
        <w:t>1包</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12.10</w:t>
      </w:r>
      <w:r>
        <w:rPr>
          <w:rFonts w:hint="eastAsia" w:ascii="宋体" w:hAnsi="宋体"/>
          <w:color w:val="auto"/>
          <w:szCs w:val="21"/>
          <w:highlight w:val="none"/>
        </w:rPr>
        <w:tab/>
      </w:r>
      <w:r>
        <w:rPr>
          <w:rFonts w:hint="eastAsia" w:ascii="宋体" w:hAnsi="宋体"/>
          <w:color w:val="auto"/>
          <w:szCs w:val="21"/>
          <w:highlight w:val="none"/>
        </w:rPr>
        <w:t>储水杯</w:t>
      </w:r>
      <w:r>
        <w:rPr>
          <w:rFonts w:hint="eastAsia" w:ascii="宋体" w:hAnsi="宋体"/>
          <w:color w:val="auto"/>
          <w:szCs w:val="21"/>
          <w:highlight w:val="none"/>
        </w:rPr>
        <w:tab/>
      </w:r>
      <w:r>
        <w:rPr>
          <w:rFonts w:hint="eastAsia" w:ascii="宋体" w:hAnsi="宋体"/>
          <w:color w:val="auto"/>
          <w:szCs w:val="21"/>
          <w:highlight w:val="none"/>
        </w:rPr>
        <w:t>1包</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12.11</w:t>
      </w:r>
      <w:r>
        <w:rPr>
          <w:rFonts w:hint="eastAsia" w:ascii="宋体" w:hAnsi="宋体"/>
          <w:color w:val="auto"/>
          <w:szCs w:val="21"/>
          <w:highlight w:val="none"/>
        </w:rPr>
        <w:tab/>
      </w:r>
      <w:r>
        <w:rPr>
          <w:rFonts w:hint="eastAsia" w:ascii="宋体" w:hAnsi="宋体"/>
          <w:color w:val="auto"/>
          <w:szCs w:val="21"/>
          <w:highlight w:val="none"/>
        </w:rPr>
        <w:t>麻醉废气排放管道</w:t>
      </w:r>
      <w:r>
        <w:rPr>
          <w:rFonts w:hint="eastAsia" w:ascii="宋体" w:hAnsi="宋体"/>
          <w:color w:val="auto"/>
          <w:szCs w:val="21"/>
          <w:highlight w:val="none"/>
        </w:rPr>
        <w:tab/>
      </w:r>
      <w:r>
        <w:rPr>
          <w:rFonts w:hint="eastAsia" w:ascii="宋体" w:hAnsi="宋体"/>
          <w:color w:val="auto"/>
          <w:szCs w:val="21"/>
          <w:highlight w:val="none"/>
        </w:rPr>
        <w:t>1套</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12.12</w:t>
      </w:r>
      <w:r>
        <w:rPr>
          <w:rFonts w:hint="eastAsia" w:ascii="宋体" w:hAnsi="宋体"/>
          <w:color w:val="auto"/>
          <w:szCs w:val="21"/>
          <w:highlight w:val="none"/>
        </w:rPr>
        <w:tab/>
      </w:r>
      <w:r>
        <w:rPr>
          <w:rFonts w:hint="eastAsia" w:ascii="宋体" w:hAnsi="宋体"/>
          <w:color w:val="auto"/>
          <w:szCs w:val="21"/>
          <w:highlight w:val="none"/>
        </w:rPr>
        <w:t>监护仪</w:t>
      </w:r>
      <w:r>
        <w:rPr>
          <w:rFonts w:hint="eastAsia" w:ascii="宋体" w:hAnsi="宋体"/>
          <w:color w:val="auto"/>
          <w:szCs w:val="21"/>
          <w:highlight w:val="none"/>
        </w:rPr>
        <w:tab/>
      </w:r>
      <w:r>
        <w:rPr>
          <w:rFonts w:hint="eastAsia" w:ascii="宋体" w:hAnsi="宋体"/>
          <w:color w:val="auto"/>
          <w:szCs w:val="21"/>
          <w:highlight w:val="none"/>
        </w:rPr>
        <w:t>1台</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12.13</w:t>
      </w:r>
      <w:r>
        <w:rPr>
          <w:rFonts w:hint="eastAsia" w:ascii="宋体" w:hAnsi="宋体"/>
          <w:color w:val="auto"/>
          <w:szCs w:val="21"/>
          <w:highlight w:val="none"/>
        </w:rPr>
        <w:tab/>
      </w:r>
      <w:r>
        <w:rPr>
          <w:rFonts w:hint="eastAsia" w:ascii="宋体" w:hAnsi="宋体"/>
          <w:color w:val="auto"/>
          <w:szCs w:val="21"/>
          <w:highlight w:val="none"/>
        </w:rPr>
        <w:t xml:space="preserve">五导联心电，血氧，体温插件盒 </w:t>
      </w:r>
      <w:r>
        <w:rPr>
          <w:rFonts w:hint="eastAsia" w:ascii="宋体" w:hAnsi="宋体"/>
          <w:color w:val="auto"/>
          <w:szCs w:val="21"/>
          <w:highlight w:val="none"/>
        </w:rPr>
        <w:tab/>
      </w:r>
      <w:r>
        <w:rPr>
          <w:rFonts w:hint="eastAsia" w:ascii="宋体" w:hAnsi="宋体"/>
          <w:color w:val="auto"/>
          <w:szCs w:val="21"/>
          <w:highlight w:val="none"/>
        </w:rPr>
        <w:t>1套</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12.14</w:t>
      </w:r>
      <w:r>
        <w:rPr>
          <w:rFonts w:hint="eastAsia" w:ascii="宋体" w:hAnsi="宋体"/>
          <w:color w:val="auto"/>
          <w:szCs w:val="21"/>
          <w:highlight w:val="none"/>
        </w:rPr>
        <w:tab/>
      </w:r>
      <w:r>
        <w:rPr>
          <w:rFonts w:hint="eastAsia" w:ascii="宋体" w:hAnsi="宋体"/>
          <w:color w:val="auto"/>
          <w:szCs w:val="21"/>
          <w:highlight w:val="none"/>
        </w:rPr>
        <w:t>5导夹式ECG</w:t>
      </w:r>
      <w:r>
        <w:rPr>
          <w:rFonts w:hint="eastAsia" w:ascii="宋体" w:hAnsi="宋体"/>
          <w:color w:val="auto"/>
          <w:szCs w:val="21"/>
          <w:highlight w:val="none"/>
        </w:rPr>
        <w:tab/>
      </w:r>
      <w:r>
        <w:rPr>
          <w:rFonts w:hint="eastAsia" w:ascii="宋体" w:hAnsi="宋体"/>
          <w:color w:val="auto"/>
          <w:szCs w:val="21"/>
          <w:highlight w:val="none"/>
        </w:rPr>
        <w:t>1根</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12.15</w:t>
      </w:r>
      <w:r>
        <w:rPr>
          <w:rFonts w:hint="eastAsia" w:ascii="宋体" w:hAnsi="宋体"/>
          <w:color w:val="auto"/>
          <w:szCs w:val="21"/>
          <w:highlight w:val="none"/>
        </w:rPr>
        <w:tab/>
      </w:r>
      <w:r>
        <w:rPr>
          <w:rFonts w:hint="eastAsia" w:ascii="宋体" w:hAnsi="宋体"/>
          <w:color w:val="auto"/>
          <w:szCs w:val="21"/>
          <w:highlight w:val="none"/>
        </w:rPr>
        <w:t>无创血压套件</w:t>
      </w:r>
      <w:r>
        <w:rPr>
          <w:rFonts w:hint="eastAsia" w:ascii="宋体" w:hAnsi="宋体"/>
          <w:color w:val="auto"/>
          <w:szCs w:val="21"/>
          <w:highlight w:val="none"/>
        </w:rPr>
        <w:tab/>
      </w:r>
      <w:r>
        <w:rPr>
          <w:rFonts w:hint="eastAsia" w:ascii="宋体" w:hAnsi="宋体"/>
          <w:color w:val="auto"/>
          <w:szCs w:val="21"/>
          <w:highlight w:val="none"/>
        </w:rPr>
        <w:t>1套</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12.16</w:t>
      </w:r>
      <w:r>
        <w:rPr>
          <w:rFonts w:hint="eastAsia" w:ascii="宋体" w:hAnsi="宋体"/>
          <w:color w:val="auto"/>
          <w:szCs w:val="21"/>
          <w:highlight w:val="none"/>
        </w:rPr>
        <w:tab/>
      </w:r>
      <w:r>
        <w:rPr>
          <w:rFonts w:hint="eastAsia" w:ascii="宋体" w:hAnsi="宋体"/>
          <w:color w:val="auto"/>
          <w:szCs w:val="21"/>
          <w:highlight w:val="none"/>
        </w:rPr>
        <w:t>血氧饱和度套件</w:t>
      </w:r>
      <w:r>
        <w:rPr>
          <w:rFonts w:hint="eastAsia" w:ascii="宋体" w:hAnsi="宋体"/>
          <w:color w:val="auto"/>
          <w:szCs w:val="21"/>
          <w:highlight w:val="none"/>
        </w:rPr>
        <w:tab/>
      </w:r>
      <w:r>
        <w:rPr>
          <w:rFonts w:hint="eastAsia" w:ascii="宋体" w:hAnsi="宋体"/>
          <w:color w:val="auto"/>
          <w:szCs w:val="21"/>
          <w:highlight w:val="none"/>
        </w:rPr>
        <w:t>1套</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12.17</w:t>
      </w:r>
      <w:r>
        <w:rPr>
          <w:rFonts w:hint="eastAsia" w:ascii="宋体" w:hAnsi="宋体"/>
          <w:color w:val="auto"/>
          <w:szCs w:val="21"/>
          <w:highlight w:val="none"/>
        </w:rPr>
        <w:tab/>
      </w:r>
      <w:r>
        <w:rPr>
          <w:rFonts w:hint="eastAsia" w:ascii="宋体" w:hAnsi="宋体"/>
          <w:color w:val="auto"/>
          <w:szCs w:val="21"/>
          <w:highlight w:val="none"/>
        </w:rPr>
        <w:t>有创压力Y型适配缆线</w:t>
      </w:r>
      <w:r>
        <w:rPr>
          <w:rFonts w:hint="eastAsia" w:ascii="宋体" w:hAnsi="宋体"/>
          <w:color w:val="auto"/>
          <w:szCs w:val="21"/>
          <w:highlight w:val="none"/>
        </w:rPr>
        <w:tab/>
      </w:r>
      <w:r>
        <w:rPr>
          <w:rFonts w:hint="eastAsia" w:ascii="宋体" w:hAnsi="宋体"/>
          <w:color w:val="auto"/>
          <w:szCs w:val="21"/>
          <w:highlight w:val="none"/>
        </w:rPr>
        <w:t>1根</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12.18</w:t>
      </w:r>
      <w:r>
        <w:rPr>
          <w:rFonts w:hint="eastAsia" w:ascii="宋体" w:hAnsi="宋体"/>
          <w:color w:val="auto"/>
          <w:szCs w:val="21"/>
          <w:highlight w:val="none"/>
        </w:rPr>
        <w:tab/>
      </w:r>
      <w:r>
        <w:rPr>
          <w:rFonts w:hint="eastAsia" w:ascii="宋体" w:hAnsi="宋体"/>
          <w:color w:val="auto"/>
          <w:szCs w:val="21"/>
          <w:highlight w:val="none"/>
        </w:rPr>
        <w:t>腔内温度探头</w:t>
      </w:r>
      <w:r>
        <w:rPr>
          <w:rFonts w:hint="eastAsia" w:ascii="宋体" w:hAnsi="宋体"/>
          <w:color w:val="auto"/>
          <w:szCs w:val="21"/>
          <w:highlight w:val="none"/>
        </w:rPr>
        <w:tab/>
      </w:r>
      <w:r>
        <w:rPr>
          <w:rFonts w:hint="eastAsia" w:ascii="宋体" w:hAnsi="宋体"/>
          <w:color w:val="auto"/>
          <w:szCs w:val="21"/>
          <w:highlight w:val="none"/>
        </w:rPr>
        <w:t>1套</w:t>
      </w:r>
    </w:p>
    <w:p>
      <w:pPr>
        <w:jc w:val="center"/>
        <w:outlineLvl w:val="1"/>
        <w:rPr>
          <w:rFonts w:ascii="黑体" w:hAnsi="宋体" w:eastAsia="黑体"/>
          <w:bCs/>
          <w:color w:val="auto"/>
          <w:sz w:val="24"/>
          <w:szCs w:val="24"/>
          <w:highlight w:val="none"/>
        </w:rPr>
      </w:pPr>
      <w:r>
        <w:rPr>
          <w:rFonts w:hint="eastAsia" w:ascii="黑体" w:hAnsi="宋体" w:eastAsia="黑体"/>
          <w:bCs/>
          <w:color w:val="auto"/>
          <w:sz w:val="24"/>
          <w:szCs w:val="24"/>
          <w:highlight w:val="none"/>
        </w:rPr>
        <w:t>第四节  商务需求明细</w:t>
      </w:r>
      <w:bookmarkEnd w:id="4"/>
    </w:p>
    <w:tbl>
      <w:tblPr>
        <w:tblStyle w:val="29"/>
        <w:tblW w:w="8522" w:type="dxa"/>
        <w:tblInd w:w="0" w:type="dxa"/>
        <w:tblLayout w:type="fixed"/>
        <w:tblCellMar>
          <w:top w:w="0" w:type="dxa"/>
          <w:left w:w="0" w:type="dxa"/>
          <w:bottom w:w="0" w:type="dxa"/>
          <w:right w:w="0" w:type="dxa"/>
        </w:tblCellMar>
      </w:tblPr>
      <w:tblGrid>
        <w:gridCol w:w="1224"/>
        <w:gridCol w:w="1577"/>
        <w:gridCol w:w="5721"/>
      </w:tblGrid>
      <w:tr>
        <w:tblPrEx>
          <w:tblLayout w:type="fixed"/>
          <w:tblCellMar>
            <w:top w:w="0" w:type="dxa"/>
            <w:left w:w="0" w:type="dxa"/>
            <w:bottom w:w="0" w:type="dxa"/>
            <w:right w:w="0" w:type="dxa"/>
          </w:tblCellMar>
        </w:tblPrEx>
        <w:trPr>
          <w:trHeight w:val="397" w:hRule="atLeast"/>
        </w:trPr>
        <w:tc>
          <w:tcPr>
            <w:tcW w:w="122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cs="宋体"/>
                <w:color w:val="auto"/>
                <w:kern w:val="0"/>
                <w:sz w:val="20"/>
                <w:highlight w:val="none"/>
              </w:rPr>
            </w:pPr>
            <w:r>
              <w:rPr>
                <w:rFonts w:ascii="宋体" w:hAnsi="宋体" w:cs="宋体"/>
                <w:b/>
                <w:bCs/>
                <w:color w:val="auto"/>
                <w:kern w:val="0"/>
                <w:sz w:val="20"/>
                <w:highlight w:val="none"/>
              </w:rPr>
              <w:t>序号</w:t>
            </w:r>
          </w:p>
        </w:tc>
        <w:tc>
          <w:tcPr>
            <w:tcW w:w="157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cs="宋体"/>
                <w:color w:val="auto"/>
                <w:kern w:val="0"/>
                <w:sz w:val="20"/>
                <w:highlight w:val="none"/>
              </w:rPr>
            </w:pPr>
            <w:r>
              <w:rPr>
                <w:rFonts w:ascii="宋体" w:hAnsi="宋体" w:cs="宋体"/>
                <w:b/>
                <w:bCs/>
                <w:color w:val="auto"/>
                <w:kern w:val="0"/>
                <w:sz w:val="20"/>
                <w:highlight w:val="none"/>
              </w:rPr>
              <w:t>目录</w:t>
            </w:r>
          </w:p>
        </w:tc>
        <w:tc>
          <w:tcPr>
            <w:tcW w:w="572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cs="宋体"/>
                <w:color w:val="auto"/>
                <w:kern w:val="0"/>
                <w:sz w:val="20"/>
                <w:highlight w:val="none"/>
              </w:rPr>
            </w:pPr>
            <w:r>
              <w:rPr>
                <w:rFonts w:ascii="宋体" w:hAnsi="宋体" w:cs="宋体"/>
                <w:b/>
                <w:bCs/>
                <w:color w:val="auto"/>
                <w:kern w:val="0"/>
                <w:sz w:val="20"/>
                <w:highlight w:val="none"/>
              </w:rPr>
              <w:t>商务需求</w:t>
            </w:r>
          </w:p>
        </w:tc>
      </w:tr>
      <w:tr>
        <w:tblPrEx>
          <w:tblLayout w:type="fixed"/>
          <w:tblCellMar>
            <w:top w:w="0" w:type="dxa"/>
            <w:left w:w="0" w:type="dxa"/>
            <w:bottom w:w="0" w:type="dxa"/>
            <w:right w:w="0" w:type="dxa"/>
          </w:tblCellMar>
        </w:tblPrEx>
        <w:trPr>
          <w:trHeight w:val="280" w:hRule="atLeast"/>
        </w:trPr>
        <w:tc>
          <w:tcPr>
            <w:tcW w:w="8522"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jc w:val="left"/>
              <w:rPr>
                <w:rFonts w:ascii="宋体" w:hAnsi="宋体" w:cs="宋体"/>
                <w:color w:val="auto"/>
                <w:kern w:val="0"/>
                <w:sz w:val="20"/>
                <w:highlight w:val="none"/>
              </w:rPr>
            </w:pPr>
            <w:r>
              <w:rPr>
                <w:rFonts w:ascii="宋体" w:hAnsi="宋体" w:cs="宋体"/>
                <w:b/>
                <w:bCs/>
                <w:color w:val="auto"/>
                <w:kern w:val="0"/>
                <w:sz w:val="20"/>
                <w:highlight w:val="none"/>
              </w:rPr>
              <w:t>（一）免费保修期内售后服务要求</w:t>
            </w:r>
          </w:p>
        </w:tc>
      </w:tr>
      <w:tr>
        <w:tblPrEx>
          <w:tblLayout w:type="fixed"/>
          <w:tblCellMar>
            <w:top w:w="0" w:type="dxa"/>
            <w:left w:w="0" w:type="dxa"/>
            <w:bottom w:w="0" w:type="dxa"/>
            <w:right w:w="0" w:type="dxa"/>
          </w:tblCellMar>
        </w:tblPrEx>
        <w:trPr>
          <w:trHeight w:val="1223" w:hRule="atLeast"/>
        </w:trPr>
        <w:tc>
          <w:tcPr>
            <w:tcW w:w="122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00" w:lineRule="atLeast"/>
              <w:jc w:val="center"/>
              <w:rPr>
                <w:rFonts w:ascii="宋体" w:hAnsi="宋体" w:cs="宋体"/>
                <w:color w:val="auto"/>
                <w:kern w:val="0"/>
                <w:sz w:val="20"/>
                <w:highlight w:val="none"/>
              </w:rPr>
            </w:pPr>
            <w:r>
              <w:rPr>
                <w:rFonts w:ascii="宋体" w:hAnsi="宋体" w:cs="宋体"/>
                <w:b/>
                <w:bCs/>
                <w:color w:val="auto"/>
                <w:kern w:val="0"/>
                <w:sz w:val="20"/>
                <w:highlight w:val="none"/>
              </w:rPr>
              <w:t>1</w:t>
            </w:r>
          </w:p>
        </w:tc>
        <w:tc>
          <w:tcPr>
            <w:tcW w:w="157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00" w:lineRule="atLeast"/>
              <w:jc w:val="left"/>
              <w:rPr>
                <w:rFonts w:ascii="宋体" w:hAnsi="宋体" w:cs="宋体"/>
                <w:color w:val="auto"/>
                <w:kern w:val="0"/>
                <w:sz w:val="20"/>
                <w:highlight w:val="none"/>
              </w:rPr>
            </w:pPr>
            <w:r>
              <w:rPr>
                <w:rFonts w:ascii="宋体" w:hAnsi="宋体" w:cs="宋体"/>
                <w:b/>
                <w:bCs/>
                <w:color w:val="auto"/>
                <w:kern w:val="0"/>
                <w:sz w:val="20"/>
                <w:highlight w:val="none"/>
              </w:rPr>
              <w:t>维修及维护服务</w:t>
            </w: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00" w:lineRule="atLeast"/>
              <w:jc w:val="left"/>
              <w:rPr>
                <w:rFonts w:ascii="宋体" w:hAnsi="宋体" w:cs="宋体"/>
                <w:color w:val="auto"/>
                <w:kern w:val="0"/>
                <w:sz w:val="20"/>
                <w:highlight w:val="none"/>
              </w:rPr>
            </w:pPr>
            <w:r>
              <w:rPr>
                <w:rFonts w:ascii="宋体" w:hAnsi="宋体" w:cs="宋体"/>
                <w:color w:val="auto"/>
                <w:kern w:val="0"/>
                <w:sz w:val="20"/>
                <w:highlight w:val="none"/>
              </w:rPr>
              <w:t>1.1各投标人应在投标文件中列明各主机、配件和易耗品的保修期限,并承诺提供整机免费保修期</w:t>
            </w:r>
            <w:r>
              <w:rPr>
                <w:rFonts w:ascii="宋体" w:hAnsi="宋体" w:cs="宋体"/>
                <w:color w:val="auto"/>
                <w:kern w:val="0"/>
                <w:sz w:val="20"/>
                <w:highlight w:val="none"/>
                <w:u w:val="single"/>
              </w:rPr>
              <w:t xml:space="preserve"> </w:t>
            </w:r>
            <w:r>
              <w:rPr>
                <w:rFonts w:hint="eastAsia" w:ascii="宋体" w:hAnsi="宋体" w:cs="宋体"/>
                <w:color w:val="auto"/>
                <w:kern w:val="0"/>
                <w:sz w:val="20"/>
                <w:highlight w:val="none"/>
                <w:u w:val="single"/>
              </w:rPr>
              <w:t>3</w:t>
            </w:r>
            <w:r>
              <w:rPr>
                <w:rFonts w:ascii="宋体" w:hAnsi="宋体" w:cs="宋体"/>
                <w:color w:val="auto"/>
                <w:kern w:val="0"/>
                <w:sz w:val="20"/>
                <w:highlight w:val="none"/>
              </w:rPr>
              <w:t>年</w:t>
            </w:r>
            <w:r>
              <w:rPr>
                <w:rFonts w:hint="eastAsia" w:ascii="宋体" w:hAnsi="宋体" w:cs="宋体"/>
                <w:color w:val="auto"/>
                <w:kern w:val="0"/>
                <w:sz w:val="20"/>
                <w:highlight w:val="none"/>
              </w:rPr>
              <w:t>(全保)</w:t>
            </w:r>
            <w:r>
              <w:rPr>
                <w:rStyle w:val="32"/>
                <w:color w:val="auto"/>
                <w:highlight w:val="none"/>
              </w:rPr>
              <w:t>（特别提示：免费保修期达不到招标文件要求的，该投标文件初审不通过）</w:t>
            </w:r>
            <w:r>
              <w:rPr>
                <w:rFonts w:ascii="宋体" w:hAnsi="宋体" w:cs="宋体"/>
                <w:color w:val="auto"/>
                <w:kern w:val="0"/>
                <w:sz w:val="20"/>
                <w:highlight w:val="none"/>
              </w:rPr>
              <w:t>,终身维修。保修期内,年度定期预防性维护保养次数应不少于</w:t>
            </w:r>
            <w:r>
              <w:rPr>
                <w:rFonts w:ascii="宋体" w:hAnsi="宋体" w:cs="宋体"/>
                <w:color w:val="auto"/>
                <w:kern w:val="0"/>
                <w:sz w:val="20"/>
                <w:highlight w:val="none"/>
                <w:u w:val="single"/>
              </w:rPr>
              <w:t xml:space="preserve"> 4 </w:t>
            </w:r>
            <w:r>
              <w:rPr>
                <w:rFonts w:ascii="宋体" w:hAnsi="宋体" w:cs="宋体"/>
                <w:color w:val="auto"/>
                <w:kern w:val="0"/>
                <w:sz w:val="20"/>
                <w:highlight w:val="none"/>
              </w:rPr>
              <w:t>次。保修期内免费更换零配件、免工时费。</w:t>
            </w:r>
          </w:p>
        </w:tc>
      </w:tr>
      <w:tr>
        <w:tblPrEx>
          <w:tblLayout w:type="fixed"/>
          <w:tblCellMar>
            <w:top w:w="0" w:type="dxa"/>
            <w:left w:w="0" w:type="dxa"/>
            <w:bottom w:w="0" w:type="dxa"/>
            <w:right w:w="0" w:type="dxa"/>
          </w:tblCellMar>
        </w:tblPrEx>
        <w:trPr>
          <w:trHeight w:val="150" w:hRule="atLeast"/>
        </w:trPr>
        <w:tc>
          <w:tcPr>
            <w:tcW w:w="12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1577"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150" w:lineRule="atLeast"/>
              <w:jc w:val="left"/>
              <w:rPr>
                <w:rFonts w:ascii="宋体" w:hAnsi="宋体" w:cs="宋体"/>
                <w:color w:val="auto"/>
                <w:kern w:val="0"/>
                <w:sz w:val="20"/>
                <w:highlight w:val="none"/>
              </w:rPr>
            </w:pPr>
            <w:r>
              <w:rPr>
                <w:rFonts w:ascii="宋体" w:hAnsi="宋体" w:cs="宋体"/>
                <w:color w:val="auto"/>
                <w:kern w:val="0"/>
                <w:sz w:val="20"/>
                <w:highlight w:val="none"/>
              </w:rPr>
              <w:t>1.2由设备制造商提供售后服务，</w:t>
            </w:r>
            <w:r>
              <w:rPr>
                <w:rFonts w:ascii="宋体" w:hAnsi="宋体" w:cs="宋体"/>
                <w:color w:val="auto"/>
                <w:kern w:val="0"/>
                <w:sz w:val="20"/>
                <w:highlight w:val="none"/>
                <w:u w:val="single"/>
              </w:rPr>
              <w:t xml:space="preserve"> 4 </w:t>
            </w:r>
            <w:r>
              <w:rPr>
                <w:rFonts w:ascii="宋体" w:hAnsi="宋体" w:cs="宋体"/>
                <w:color w:val="auto"/>
                <w:kern w:val="0"/>
                <w:sz w:val="20"/>
                <w:highlight w:val="none"/>
              </w:rPr>
              <w:t>小时内响应，</w:t>
            </w:r>
            <w:r>
              <w:rPr>
                <w:rFonts w:ascii="宋体" w:hAnsi="宋体" w:cs="宋体"/>
                <w:color w:val="auto"/>
                <w:kern w:val="0"/>
                <w:sz w:val="20"/>
                <w:highlight w:val="none"/>
                <w:u w:val="single"/>
              </w:rPr>
              <w:t xml:space="preserve"> 24 </w:t>
            </w:r>
            <w:r>
              <w:rPr>
                <w:rFonts w:ascii="宋体" w:hAnsi="宋体" w:cs="宋体"/>
                <w:color w:val="auto"/>
                <w:kern w:val="0"/>
                <w:sz w:val="20"/>
                <w:highlight w:val="none"/>
              </w:rPr>
              <w:t>小时维修到位（不可抗力情况除外）。消耗品和零配件供应及时，特殊情况下可提供备用机。</w:t>
            </w:r>
          </w:p>
        </w:tc>
      </w:tr>
      <w:tr>
        <w:tblPrEx>
          <w:tblLayout w:type="fixed"/>
          <w:tblCellMar>
            <w:top w:w="0" w:type="dxa"/>
            <w:left w:w="0" w:type="dxa"/>
            <w:bottom w:w="0" w:type="dxa"/>
            <w:right w:w="0" w:type="dxa"/>
          </w:tblCellMar>
        </w:tblPrEx>
        <w:trPr>
          <w:trHeight w:val="150" w:hRule="atLeast"/>
        </w:trPr>
        <w:tc>
          <w:tcPr>
            <w:tcW w:w="12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1577"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150" w:lineRule="atLeast"/>
              <w:jc w:val="left"/>
              <w:rPr>
                <w:rFonts w:ascii="宋体" w:hAnsi="宋体" w:cs="宋体"/>
                <w:color w:val="auto"/>
                <w:kern w:val="0"/>
                <w:sz w:val="20"/>
                <w:highlight w:val="none"/>
              </w:rPr>
            </w:pPr>
            <w:r>
              <w:rPr>
                <w:rFonts w:ascii="宋体" w:hAnsi="宋体" w:cs="宋体"/>
                <w:color w:val="auto"/>
                <w:kern w:val="0"/>
                <w:sz w:val="20"/>
                <w:highlight w:val="none"/>
              </w:rPr>
              <w:t>1.3投标人负责货物的终身维修，保证</w:t>
            </w:r>
            <w:r>
              <w:rPr>
                <w:rFonts w:ascii="宋体" w:hAnsi="宋体" w:cs="宋体"/>
                <w:color w:val="auto"/>
                <w:kern w:val="0"/>
                <w:sz w:val="20"/>
                <w:highlight w:val="none"/>
                <w:u w:val="single"/>
              </w:rPr>
              <w:t xml:space="preserve"> 10 </w:t>
            </w:r>
            <w:r>
              <w:rPr>
                <w:rFonts w:ascii="宋体" w:hAnsi="宋体" w:cs="宋体"/>
                <w:color w:val="auto"/>
                <w:kern w:val="0"/>
                <w:sz w:val="20"/>
                <w:highlight w:val="none"/>
              </w:rPr>
              <w:t>年以上供应维修配件，</w:t>
            </w:r>
            <w:r>
              <w:rPr>
                <w:rFonts w:ascii="宋体" w:hAnsi="宋体" w:cs="宋体"/>
                <w:color w:val="auto"/>
                <w:kern w:val="0"/>
                <w:sz w:val="20"/>
                <w:highlight w:val="none"/>
                <w:u w:val="single"/>
              </w:rPr>
              <w:t xml:space="preserve"> 5 </w:t>
            </w:r>
            <w:r>
              <w:rPr>
                <w:rFonts w:ascii="宋体" w:hAnsi="宋体" w:cs="宋体"/>
                <w:color w:val="auto"/>
                <w:kern w:val="0"/>
                <w:sz w:val="20"/>
                <w:highlight w:val="none"/>
              </w:rPr>
              <w:t>年内免费提供软件升级服务。</w:t>
            </w:r>
          </w:p>
        </w:tc>
      </w:tr>
      <w:tr>
        <w:tblPrEx>
          <w:tblLayout w:type="fixed"/>
          <w:tblCellMar>
            <w:top w:w="0" w:type="dxa"/>
            <w:left w:w="0" w:type="dxa"/>
            <w:bottom w:w="0" w:type="dxa"/>
            <w:right w:w="0" w:type="dxa"/>
          </w:tblCellMar>
        </w:tblPrEx>
        <w:trPr>
          <w:trHeight w:val="320" w:hRule="atLeast"/>
        </w:trPr>
        <w:tc>
          <w:tcPr>
            <w:tcW w:w="12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00" w:lineRule="atLeast"/>
              <w:jc w:val="center"/>
              <w:rPr>
                <w:rFonts w:ascii="宋体" w:hAnsi="宋体" w:cs="宋体"/>
                <w:color w:val="auto"/>
                <w:kern w:val="0"/>
                <w:sz w:val="20"/>
                <w:highlight w:val="none"/>
              </w:rPr>
            </w:pPr>
            <w:r>
              <w:rPr>
                <w:rFonts w:ascii="宋体" w:hAnsi="宋体" w:cs="宋体"/>
                <w:b/>
                <w:bCs/>
                <w:color w:val="auto"/>
                <w:kern w:val="0"/>
                <w:sz w:val="20"/>
                <w:highlight w:val="none"/>
              </w:rPr>
              <w:t>2</w:t>
            </w:r>
          </w:p>
        </w:tc>
        <w:tc>
          <w:tcPr>
            <w:tcW w:w="15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00" w:lineRule="atLeast"/>
              <w:jc w:val="center"/>
              <w:rPr>
                <w:rFonts w:ascii="宋体" w:hAnsi="宋体" w:cs="宋体"/>
                <w:color w:val="auto"/>
                <w:kern w:val="0"/>
                <w:sz w:val="20"/>
                <w:highlight w:val="none"/>
              </w:rPr>
            </w:pPr>
            <w:r>
              <w:rPr>
                <w:rFonts w:ascii="宋体" w:hAnsi="宋体" w:cs="宋体"/>
                <w:b/>
                <w:bCs/>
                <w:color w:val="auto"/>
                <w:kern w:val="0"/>
                <w:sz w:val="20"/>
                <w:highlight w:val="none"/>
              </w:rPr>
              <w:t>质量保证</w:t>
            </w: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00" w:lineRule="atLeast"/>
              <w:jc w:val="left"/>
              <w:rPr>
                <w:rFonts w:ascii="宋体" w:hAnsi="宋体" w:cs="宋体"/>
                <w:color w:val="auto"/>
                <w:kern w:val="0"/>
                <w:sz w:val="20"/>
                <w:highlight w:val="none"/>
              </w:rPr>
            </w:pPr>
            <w:r>
              <w:rPr>
                <w:rFonts w:ascii="宋体" w:hAnsi="宋体" w:cs="宋体"/>
                <w:color w:val="auto"/>
                <w:kern w:val="0"/>
                <w:sz w:val="20"/>
                <w:highlight w:val="none"/>
              </w:rPr>
              <w:t>2.1在保修期内, 投标人应确保年开机率在95%以上, 若不能达到此开机率，将作以下处理：a. 年开机率在90-95%之间按一赔</w:t>
            </w:r>
            <w:r>
              <w:rPr>
                <w:rFonts w:ascii="宋体" w:hAnsi="宋体" w:cs="宋体"/>
                <w:color w:val="auto"/>
                <w:kern w:val="0"/>
                <w:sz w:val="20"/>
                <w:highlight w:val="none"/>
                <w:u w:val="single"/>
              </w:rPr>
              <w:t xml:space="preserve"> 二 </w:t>
            </w:r>
            <w:r>
              <w:rPr>
                <w:rFonts w:ascii="宋体" w:hAnsi="宋体" w:cs="宋体"/>
                <w:color w:val="auto"/>
                <w:kern w:val="0"/>
                <w:sz w:val="20"/>
                <w:highlight w:val="none"/>
              </w:rPr>
              <w:t>延长保修期；b. 年开机率在85-90%之间按一赔</w:t>
            </w:r>
            <w:r>
              <w:rPr>
                <w:rFonts w:ascii="宋体" w:hAnsi="宋体" w:cs="宋体"/>
                <w:color w:val="auto"/>
                <w:kern w:val="0"/>
                <w:sz w:val="20"/>
                <w:highlight w:val="none"/>
                <w:u w:val="single"/>
              </w:rPr>
              <w:t xml:space="preserve"> 五 </w:t>
            </w:r>
            <w:r>
              <w:rPr>
                <w:rFonts w:ascii="宋体" w:hAnsi="宋体" w:cs="宋体"/>
                <w:color w:val="auto"/>
                <w:kern w:val="0"/>
                <w:sz w:val="20"/>
                <w:highlight w:val="none"/>
              </w:rPr>
              <w:t>延长保修期；c. 年开机率低于85%，投标人必须无条件更换新机，并重新计算保修期，以及赔偿用户的直接经济损失和间接经济损失。注：年开机率=（365-停机天数）/365）</w:t>
            </w:r>
          </w:p>
        </w:tc>
      </w:tr>
      <w:tr>
        <w:tblPrEx>
          <w:tblLayout w:type="fixed"/>
          <w:tblCellMar>
            <w:top w:w="0" w:type="dxa"/>
            <w:left w:w="0" w:type="dxa"/>
            <w:bottom w:w="0" w:type="dxa"/>
            <w:right w:w="0" w:type="dxa"/>
          </w:tblCellMar>
        </w:tblPrEx>
        <w:trPr>
          <w:trHeight w:val="280" w:hRule="atLeast"/>
        </w:trPr>
        <w:tc>
          <w:tcPr>
            <w:tcW w:w="8522"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300" w:lineRule="atLeast"/>
              <w:jc w:val="left"/>
              <w:rPr>
                <w:rFonts w:ascii="宋体" w:hAnsi="宋体" w:cs="宋体"/>
                <w:color w:val="auto"/>
                <w:kern w:val="0"/>
                <w:sz w:val="20"/>
                <w:highlight w:val="none"/>
              </w:rPr>
            </w:pPr>
            <w:r>
              <w:rPr>
                <w:rFonts w:ascii="宋体" w:hAnsi="宋体" w:cs="宋体"/>
                <w:b/>
                <w:bCs/>
                <w:color w:val="auto"/>
                <w:kern w:val="0"/>
                <w:sz w:val="20"/>
                <w:highlight w:val="none"/>
              </w:rPr>
              <w:t>（二）免费保修期外售后服务要求</w:t>
            </w:r>
          </w:p>
        </w:tc>
      </w:tr>
      <w:tr>
        <w:tblPrEx>
          <w:tblLayout w:type="fixed"/>
          <w:tblCellMar>
            <w:top w:w="0" w:type="dxa"/>
            <w:left w:w="0" w:type="dxa"/>
            <w:bottom w:w="0" w:type="dxa"/>
            <w:right w:w="0" w:type="dxa"/>
          </w:tblCellMar>
        </w:tblPrEx>
        <w:trPr>
          <w:trHeight w:val="350" w:hRule="atLeast"/>
        </w:trPr>
        <w:tc>
          <w:tcPr>
            <w:tcW w:w="122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00" w:lineRule="atLeast"/>
              <w:jc w:val="center"/>
              <w:rPr>
                <w:rFonts w:ascii="宋体" w:hAnsi="宋体" w:cs="宋体"/>
                <w:color w:val="auto"/>
                <w:kern w:val="0"/>
                <w:sz w:val="20"/>
                <w:highlight w:val="none"/>
              </w:rPr>
            </w:pPr>
            <w:r>
              <w:rPr>
                <w:rFonts w:ascii="宋体" w:hAnsi="宋体" w:cs="宋体"/>
                <w:b/>
                <w:bCs/>
                <w:color w:val="auto"/>
                <w:kern w:val="0"/>
                <w:sz w:val="20"/>
                <w:highlight w:val="none"/>
              </w:rPr>
              <w:t>1</w:t>
            </w:r>
          </w:p>
        </w:tc>
        <w:tc>
          <w:tcPr>
            <w:tcW w:w="157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00" w:lineRule="atLeast"/>
              <w:jc w:val="center"/>
              <w:rPr>
                <w:rFonts w:ascii="宋体" w:hAnsi="宋体" w:cs="宋体"/>
                <w:color w:val="auto"/>
                <w:kern w:val="0"/>
                <w:sz w:val="20"/>
                <w:highlight w:val="none"/>
              </w:rPr>
            </w:pPr>
            <w:r>
              <w:rPr>
                <w:rFonts w:ascii="宋体" w:hAnsi="宋体" w:cs="宋体"/>
                <w:b/>
                <w:bCs/>
                <w:color w:val="auto"/>
                <w:kern w:val="0"/>
                <w:sz w:val="20"/>
                <w:highlight w:val="none"/>
              </w:rPr>
              <w:t>维修零配件、消耗品和延续保修合同的报价</w:t>
            </w: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00" w:lineRule="atLeast"/>
              <w:jc w:val="left"/>
              <w:rPr>
                <w:rFonts w:ascii="宋体" w:hAnsi="宋体" w:cs="宋体"/>
                <w:color w:val="auto"/>
                <w:kern w:val="0"/>
                <w:sz w:val="20"/>
                <w:highlight w:val="none"/>
              </w:rPr>
            </w:pPr>
            <w:r>
              <w:rPr>
                <w:rFonts w:ascii="宋体" w:hAnsi="宋体" w:cs="宋体"/>
                <w:color w:val="auto"/>
                <w:kern w:val="0"/>
                <w:sz w:val="20"/>
                <w:highlight w:val="none"/>
              </w:rPr>
              <w:t>1.1由设备制造商提供售后服务，</w:t>
            </w:r>
            <w:r>
              <w:rPr>
                <w:rFonts w:ascii="宋体" w:hAnsi="宋体" w:cs="宋体"/>
                <w:color w:val="auto"/>
                <w:kern w:val="0"/>
                <w:sz w:val="20"/>
                <w:highlight w:val="none"/>
                <w:u w:val="single"/>
              </w:rPr>
              <w:t xml:space="preserve"> 4 </w:t>
            </w:r>
            <w:r>
              <w:rPr>
                <w:rFonts w:ascii="宋体" w:hAnsi="宋体" w:cs="宋体"/>
                <w:color w:val="auto"/>
                <w:kern w:val="0"/>
                <w:sz w:val="20"/>
                <w:highlight w:val="none"/>
              </w:rPr>
              <w:t>小时内响应，</w:t>
            </w:r>
            <w:r>
              <w:rPr>
                <w:rFonts w:ascii="宋体" w:hAnsi="宋体" w:cs="宋体"/>
                <w:color w:val="auto"/>
                <w:kern w:val="0"/>
                <w:sz w:val="20"/>
                <w:highlight w:val="none"/>
                <w:u w:val="single"/>
              </w:rPr>
              <w:t xml:space="preserve"> 24 </w:t>
            </w:r>
            <w:r>
              <w:rPr>
                <w:rFonts w:ascii="宋体" w:hAnsi="宋体" w:cs="宋体"/>
                <w:color w:val="auto"/>
                <w:kern w:val="0"/>
                <w:sz w:val="20"/>
                <w:highlight w:val="none"/>
              </w:rPr>
              <w:t>小时维修到位（不可抗力情况除外）。消耗品和零配件供应及时，特殊情况下可提供备用机。</w:t>
            </w:r>
          </w:p>
        </w:tc>
      </w:tr>
      <w:tr>
        <w:tblPrEx>
          <w:tblLayout w:type="fixed"/>
          <w:tblCellMar>
            <w:top w:w="0" w:type="dxa"/>
            <w:left w:w="0" w:type="dxa"/>
            <w:bottom w:w="0" w:type="dxa"/>
            <w:right w:w="0" w:type="dxa"/>
          </w:tblCellMar>
        </w:tblPrEx>
        <w:trPr>
          <w:trHeight w:val="350" w:hRule="atLeast"/>
        </w:trPr>
        <w:tc>
          <w:tcPr>
            <w:tcW w:w="12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1577"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00" w:lineRule="atLeast"/>
              <w:jc w:val="left"/>
              <w:rPr>
                <w:rFonts w:ascii="宋体" w:hAnsi="宋体" w:cs="宋体"/>
                <w:color w:val="auto"/>
                <w:kern w:val="0"/>
                <w:sz w:val="20"/>
                <w:highlight w:val="none"/>
              </w:rPr>
            </w:pPr>
            <w:r>
              <w:rPr>
                <w:rFonts w:ascii="宋体" w:hAnsi="宋体" w:cs="宋体"/>
                <w:color w:val="auto"/>
                <w:kern w:val="0"/>
                <w:sz w:val="20"/>
                <w:highlight w:val="none"/>
              </w:rPr>
              <w:t>1.2保修期满后，投标人应以优惠价供应维修零配件、消耗品和延续保修合同。价格最高的前5项零配件、消耗品和延续保修合同的报价明细必须填写于《零配件、消耗品和延续保修合同报价明清单》中。</w:t>
            </w:r>
          </w:p>
        </w:tc>
      </w:tr>
      <w:tr>
        <w:tblPrEx>
          <w:tblLayout w:type="fixed"/>
          <w:tblCellMar>
            <w:top w:w="0" w:type="dxa"/>
            <w:left w:w="0" w:type="dxa"/>
            <w:bottom w:w="0" w:type="dxa"/>
            <w:right w:w="0" w:type="dxa"/>
          </w:tblCellMar>
        </w:tblPrEx>
        <w:trPr>
          <w:trHeight w:val="350" w:hRule="atLeast"/>
        </w:trPr>
        <w:tc>
          <w:tcPr>
            <w:tcW w:w="12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1577"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00" w:lineRule="atLeast"/>
              <w:jc w:val="left"/>
              <w:rPr>
                <w:rFonts w:ascii="宋体" w:hAnsi="宋体" w:cs="宋体"/>
                <w:color w:val="auto"/>
                <w:kern w:val="0"/>
                <w:sz w:val="20"/>
                <w:highlight w:val="none"/>
              </w:rPr>
            </w:pPr>
            <w:r>
              <w:rPr>
                <w:rFonts w:ascii="宋体" w:hAnsi="宋体" w:cs="宋体"/>
                <w:color w:val="auto"/>
                <w:kern w:val="0"/>
                <w:sz w:val="20"/>
                <w:highlight w:val="none"/>
              </w:rPr>
              <w:t>1.3采购人可与投标人就优惠价进行谈判，但优惠价不得高于投标人在投标文件的《零配件、消耗品和延续保修合同报价明清单》中承诺的维修零配件、消耗品和延续保修合同的报价。</w:t>
            </w:r>
          </w:p>
        </w:tc>
      </w:tr>
      <w:tr>
        <w:tblPrEx>
          <w:tblLayout w:type="fixed"/>
          <w:tblCellMar>
            <w:top w:w="0" w:type="dxa"/>
            <w:left w:w="0" w:type="dxa"/>
            <w:bottom w:w="0" w:type="dxa"/>
            <w:right w:w="0" w:type="dxa"/>
          </w:tblCellMar>
        </w:tblPrEx>
        <w:trPr>
          <w:trHeight w:val="350" w:hRule="atLeast"/>
        </w:trPr>
        <w:tc>
          <w:tcPr>
            <w:tcW w:w="12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1577"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jc w:val="left"/>
              <w:rPr>
                <w:rFonts w:ascii="宋体" w:hAnsi="宋体" w:cs="宋体"/>
                <w:color w:val="auto"/>
                <w:kern w:val="0"/>
                <w:sz w:val="20"/>
                <w:highlight w:val="none"/>
              </w:rPr>
            </w:pPr>
            <w:r>
              <w:rPr>
                <w:rFonts w:ascii="宋体" w:hAnsi="宋体" w:cs="宋体"/>
                <w:color w:val="auto"/>
                <w:kern w:val="0"/>
                <w:sz w:val="20"/>
                <w:highlight w:val="none"/>
              </w:rPr>
              <w:t>1.4设备制造商维修的货物经采购人验收合格，且设备制造商提供维修专用发票后，采购人支付维修费用。</w:t>
            </w:r>
          </w:p>
        </w:tc>
      </w:tr>
      <w:tr>
        <w:tblPrEx>
          <w:tblLayout w:type="fixed"/>
          <w:tblCellMar>
            <w:top w:w="0" w:type="dxa"/>
            <w:left w:w="0" w:type="dxa"/>
            <w:bottom w:w="0" w:type="dxa"/>
            <w:right w:w="0" w:type="dxa"/>
          </w:tblCellMar>
        </w:tblPrEx>
        <w:trPr>
          <w:trHeight w:val="350" w:hRule="atLeast"/>
        </w:trPr>
        <w:tc>
          <w:tcPr>
            <w:tcW w:w="12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1577"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jc w:val="left"/>
              <w:rPr>
                <w:rFonts w:ascii="宋体" w:hAnsi="宋体" w:cs="宋体"/>
                <w:color w:val="auto"/>
                <w:kern w:val="0"/>
                <w:sz w:val="20"/>
                <w:highlight w:val="none"/>
              </w:rPr>
            </w:pPr>
            <w:r>
              <w:rPr>
                <w:rFonts w:ascii="宋体" w:hAnsi="宋体" w:cs="宋体"/>
                <w:color w:val="auto"/>
                <w:kern w:val="0"/>
                <w:sz w:val="20"/>
                <w:highlight w:val="none"/>
              </w:rPr>
              <w:t>1.5投标人及设备制造商不得以任何理由不按时进行维修，不得要求采购人购买所谓“保修服务”（即：不论设备有无故障先买保修服务），不得在设备中嵌设任何不利于采购人使用与维修设备的障碍。</w:t>
            </w:r>
          </w:p>
        </w:tc>
      </w:tr>
      <w:tr>
        <w:tblPrEx>
          <w:tblLayout w:type="fixed"/>
          <w:tblCellMar>
            <w:top w:w="0" w:type="dxa"/>
            <w:left w:w="0" w:type="dxa"/>
            <w:bottom w:w="0" w:type="dxa"/>
            <w:right w:w="0" w:type="dxa"/>
          </w:tblCellMar>
        </w:tblPrEx>
        <w:trPr>
          <w:trHeight w:val="350" w:hRule="atLeast"/>
        </w:trPr>
        <w:tc>
          <w:tcPr>
            <w:tcW w:w="8522"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jc w:val="left"/>
              <w:rPr>
                <w:rFonts w:ascii="宋体" w:hAnsi="宋体" w:cs="宋体"/>
                <w:color w:val="auto"/>
                <w:kern w:val="0"/>
                <w:sz w:val="20"/>
                <w:highlight w:val="none"/>
              </w:rPr>
            </w:pPr>
            <w:r>
              <w:rPr>
                <w:rFonts w:ascii="宋体" w:hAnsi="宋体" w:cs="宋体"/>
                <w:b/>
                <w:bCs/>
                <w:color w:val="auto"/>
                <w:kern w:val="0"/>
                <w:sz w:val="20"/>
                <w:highlight w:val="none"/>
              </w:rPr>
              <w:t>（三）其他商务要求</w:t>
            </w:r>
          </w:p>
        </w:tc>
      </w:tr>
      <w:tr>
        <w:tblPrEx>
          <w:tblLayout w:type="fixed"/>
          <w:tblCellMar>
            <w:top w:w="0" w:type="dxa"/>
            <w:left w:w="0" w:type="dxa"/>
            <w:bottom w:w="0" w:type="dxa"/>
            <w:right w:w="0" w:type="dxa"/>
          </w:tblCellMar>
        </w:tblPrEx>
        <w:trPr>
          <w:trHeight w:val="350" w:hRule="atLeast"/>
        </w:trPr>
        <w:tc>
          <w:tcPr>
            <w:tcW w:w="122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cs="宋体"/>
                <w:color w:val="auto"/>
                <w:kern w:val="0"/>
                <w:sz w:val="20"/>
                <w:highlight w:val="none"/>
              </w:rPr>
            </w:pPr>
            <w:r>
              <w:rPr>
                <w:rFonts w:ascii="宋体" w:hAnsi="宋体" w:cs="宋体"/>
                <w:b/>
                <w:bCs/>
                <w:color w:val="auto"/>
                <w:kern w:val="0"/>
                <w:sz w:val="20"/>
                <w:highlight w:val="none"/>
              </w:rPr>
              <w:t>1</w:t>
            </w:r>
          </w:p>
        </w:tc>
        <w:tc>
          <w:tcPr>
            <w:tcW w:w="157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cs="宋体"/>
                <w:color w:val="auto"/>
                <w:kern w:val="0"/>
                <w:sz w:val="20"/>
                <w:highlight w:val="none"/>
              </w:rPr>
            </w:pPr>
            <w:r>
              <w:rPr>
                <w:rFonts w:ascii="宋体" w:hAnsi="宋体" w:cs="宋体"/>
                <w:b/>
                <w:bCs/>
                <w:color w:val="auto"/>
                <w:kern w:val="0"/>
                <w:sz w:val="20"/>
                <w:highlight w:val="none"/>
              </w:rPr>
              <w:t>交货要求</w:t>
            </w: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jc w:val="left"/>
              <w:rPr>
                <w:rFonts w:ascii="宋体" w:hAnsi="宋体" w:cs="宋体"/>
                <w:color w:val="auto"/>
                <w:kern w:val="0"/>
                <w:sz w:val="20"/>
                <w:highlight w:val="none"/>
              </w:rPr>
            </w:pPr>
            <w:r>
              <w:rPr>
                <w:rFonts w:ascii="宋体" w:hAnsi="宋体" w:cs="宋体"/>
                <w:color w:val="auto"/>
                <w:kern w:val="0"/>
                <w:sz w:val="20"/>
                <w:highlight w:val="none"/>
              </w:rPr>
              <w:t>1.1投标人在签订合同之日起</w:t>
            </w:r>
            <w:r>
              <w:rPr>
                <w:rFonts w:hint="eastAsia" w:ascii="宋体" w:hAnsi="宋体" w:cs="宋体"/>
                <w:color w:val="auto"/>
                <w:kern w:val="0"/>
                <w:sz w:val="20"/>
                <w:highlight w:val="none"/>
                <w:u w:val="single"/>
              </w:rPr>
              <w:t>30</w:t>
            </w:r>
            <w:r>
              <w:rPr>
                <w:rFonts w:ascii="宋体" w:hAnsi="宋体" w:cs="宋体"/>
                <w:color w:val="auto"/>
                <w:kern w:val="0"/>
                <w:sz w:val="20"/>
                <w:highlight w:val="none"/>
              </w:rPr>
              <w:t>天内交货</w:t>
            </w:r>
            <w:r>
              <w:rPr>
                <w:rStyle w:val="32"/>
                <w:color w:val="auto"/>
                <w:highlight w:val="none"/>
                <w:u w:val="single"/>
              </w:rPr>
              <w:t>（特别提示：开标一览表中的交货期可填写 天（日历日），交货期超过招标文件要求的，该投标文件初审不通过）</w:t>
            </w:r>
          </w:p>
        </w:tc>
      </w:tr>
      <w:tr>
        <w:tblPrEx>
          <w:tblLayout w:type="fixed"/>
          <w:tblCellMar>
            <w:top w:w="0" w:type="dxa"/>
            <w:left w:w="0" w:type="dxa"/>
            <w:bottom w:w="0" w:type="dxa"/>
            <w:right w:w="0" w:type="dxa"/>
          </w:tblCellMar>
        </w:tblPrEx>
        <w:trPr>
          <w:trHeight w:val="451" w:hRule="atLeast"/>
        </w:trPr>
        <w:tc>
          <w:tcPr>
            <w:tcW w:w="12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1577"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jc w:val="left"/>
              <w:rPr>
                <w:rFonts w:ascii="宋体" w:hAnsi="宋体" w:cs="宋体"/>
                <w:color w:val="auto"/>
                <w:kern w:val="0"/>
                <w:sz w:val="20"/>
                <w:highlight w:val="none"/>
              </w:rPr>
            </w:pPr>
            <w:r>
              <w:rPr>
                <w:rFonts w:ascii="宋体" w:hAnsi="宋体" w:cs="宋体"/>
                <w:color w:val="auto"/>
                <w:kern w:val="0"/>
                <w:sz w:val="20"/>
                <w:highlight w:val="none"/>
              </w:rPr>
              <w:t>1.2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tblPrEx>
          <w:tblLayout w:type="fixed"/>
          <w:tblCellMar>
            <w:top w:w="0" w:type="dxa"/>
            <w:left w:w="0" w:type="dxa"/>
            <w:bottom w:w="0" w:type="dxa"/>
            <w:right w:w="0" w:type="dxa"/>
          </w:tblCellMar>
        </w:tblPrEx>
        <w:trPr>
          <w:trHeight w:val="451" w:hRule="atLeast"/>
        </w:trPr>
        <w:tc>
          <w:tcPr>
            <w:tcW w:w="12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1577"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jc w:val="left"/>
              <w:rPr>
                <w:rFonts w:ascii="宋体" w:hAnsi="宋体" w:cs="宋体"/>
                <w:color w:val="auto"/>
                <w:kern w:val="0"/>
                <w:sz w:val="20"/>
                <w:highlight w:val="none"/>
              </w:rPr>
            </w:pPr>
            <w:r>
              <w:rPr>
                <w:rFonts w:ascii="宋体" w:hAnsi="宋体" w:cs="宋体"/>
                <w:color w:val="auto"/>
                <w:spacing w:val="-3"/>
                <w:kern w:val="0"/>
                <w:sz w:val="20"/>
                <w:highlight w:val="none"/>
              </w:rPr>
              <w:t>1.3提供的货物必须为全新、经检验合格的产品。产品如需要计量检定的应提供相关计量检定部门出具的合法检定报告。其中，进口设备必须具有</w:t>
            </w:r>
            <w:r>
              <w:rPr>
                <w:rFonts w:ascii="宋体" w:hAnsi="宋体" w:cs="宋体"/>
                <w:color w:val="auto"/>
                <w:kern w:val="0"/>
                <w:sz w:val="20"/>
                <w:highlight w:val="none"/>
              </w:rPr>
              <w:t>报关证明</w:t>
            </w:r>
            <w:r>
              <w:rPr>
                <w:rFonts w:ascii="宋体" w:hAnsi="宋体" w:cs="宋体"/>
                <w:color w:val="auto"/>
                <w:spacing w:val="-3"/>
                <w:kern w:val="0"/>
                <w:sz w:val="20"/>
                <w:highlight w:val="none"/>
              </w:rPr>
              <w:t>文件、</w:t>
            </w:r>
            <w:r>
              <w:rPr>
                <w:rFonts w:ascii="宋体" w:hAnsi="宋体" w:cs="宋体"/>
                <w:color w:val="auto"/>
                <w:kern w:val="0"/>
                <w:sz w:val="20"/>
                <w:highlight w:val="none"/>
              </w:rPr>
              <w:t>原产地证明和</w:t>
            </w:r>
            <w:r>
              <w:rPr>
                <w:rFonts w:ascii="宋体" w:hAnsi="宋体" w:cs="宋体"/>
                <w:color w:val="auto"/>
                <w:spacing w:val="-3"/>
                <w:kern w:val="0"/>
                <w:sz w:val="20"/>
                <w:highlight w:val="none"/>
              </w:rPr>
              <w:t>商检合格证明文件。</w:t>
            </w:r>
          </w:p>
        </w:tc>
      </w:tr>
      <w:tr>
        <w:tblPrEx>
          <w:tblLayout w:type="fixed"/>
          <w:tblCellMar>
            <w:top w:w="0" w:type="dxa"/>
            <w:left w:w="0" w:type="dxa"/>
            <w:bottom w:w="0" w:type="dxa"/>
            <w:right w:w="0" w:type="dxa"/>
          </w:tblCellMar>
        </w:tblPrEx>
        <w:trPr>
          <w:trHeight w:val="350" w:hRule="atLeast"/>
        </w:trPr>
        <w:tc>
          <w:tcPr>
            <w:tcW w:w="122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cs="宋体"/>
                <w:color w:val="auto"/>
                <w:kern w:val="0"/>
                <w:sz w:val="20"/>
                <w:highlight w:val="none"/>
              </w:rPr>
            </w:pPr>
            <w:r>
              <w:rPr>
                <w:rFonts w:ascii="宋体" w:hAnsi="宋体" w:cs="宋体"/>
                <w:b/>
                <w:bCs/>
                <w:color w:val="auto"/>
                <w:kern w:val="0"/>
                <w:sz w:val="20"/>
                <w:highlight w:val="none"/>
              </w:rPr>
              <w:t>2</w:t>
            </w:r>
          </w:p>
        </w:tc>
        <w:tc>
          <w:tcPr>
            <w:tcW w:w="157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cs="宋体"/>
                <w:color w:val="auto"/>
                <w:kern w:val="0"/>
                <w:sz w:val="20"/>
                <w:highlight w:val="none"/>
              </w:rPr>
            </w:pPr>
            <w:r>
              <w:rPr>
                <w:rFonts w:ascii="宋体" w:hAnsi="宋体" w:cs="宋体"/>
                <w:b/>
                <w:bCs/>
                <w:color w:val="auto"/>
                <w:kern w:val="0"/>
                <w:sz w:val="20"/>
                <w:highlight w:val="none"/>
              </w:rPr>
              <w:t>运输、安装和验收</w:t>
            </w: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40" w:lineRule="atLeast"/>
              <w:jc w:val="left"/>
              <w:rPr>
                <w:rFonts w:ascii="宋体" w:hAnsi="宋体" w:cs="宋体"/>
                <w:color w:val="auto"/>
                <w:kern w:val="0"/>
                <w:sz w:val="20"/>
                <w:highlight w:val="none"/>
              </w:rPr>
            </w:pPr>
            <w:r>
              <w:rPr>
                <w:rFonts w:ascii="宋体" w:hAnsi="宋体" w:cs="宋体"/>
                <w:color w:val="auto"/>
                <w:kern w:val="0"/>
                <w:sz w:val="20"/>
                <w:highlight w:val="none"/>
              </w:rPr>
              <w:t>2.1投标人负责将货物安全无损运抵采购人指定地点,并承担设备的包装、运输、保险、装卸、安装调试、培训、商检及计量检测、关税、增值税和进口代理等费用。</w:t>
            </w:r>
          </w:p>
        </w:tc>
      </w:tr>
      <w:tr>
        <w:tblPrEx>
          <w:tblLayout w:type="fixed"/>
          <w:tblCellMar>
            <w:top w:w="0" w:type="dxa"/>
            <w:left w:w="0" w:type="dxa"/>
            <w:bottom w:w="0" w:type="dxa"/>
            <w:right w:w="0" w:type="dxa"/>
          </w:tblCellMar>
        </w:tblPrEx>
        <w:trPr>
          <w:trHeight w:val="350" w:hRule="atLeast"/>
        </w:trPr>
        <w:tc>
          <w:tcPr>
            <w:tcW w:w="12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1577"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40" w:lineRule="atLeast"/>
              <w:jc w:val="left"/>
              <w:rPr>
                <w:rFonts w:ascii="宋体" w:hAnsi="宋体" w:cs="宋体"/>
                <w:color w:val="auto"/>
                <w:kern w:val="0"/>
                <w:sz w:val="20"/>
                <w:highlight w:val="none"/>
              </w:rPr>
            </w:pPr>
            <w:r>
              <w:rPr>
                <w:rFonts w:ascii="宋体" w:hAnsi="宋体" w:cs="宋体"/>
                <w:color w:val="auto"/>
                <w:kern w:val="0"/>
                <w:sz w:val="20"/>
                <w:highlight w:val="none"/>
              </w:rPr>
              <w:t>2.2采购人有权检验或测试货物，以确认货物是否符合合同规格的要求，并且不承担额外的费用。如果发现所交货物与投标文件中所承诺的不符或存在质量、技术缺陷等,采购人可以拒绝接收该货物,投标人应在</w:t>
            </w:r>
            <w:r>
              <w:rPr>
                <w:rFonts w:ascii="宋体" w:hAnsi="宋体" w:cs="宋体"/>
                <w:color w:val="auto"/>
                <w:kern w:val="0"/>
                <w:sz w:val="20"/>
                <w:highlight w:val="none"/>
                <w:u w:val="single"/>
              </w:rPr>
              <w:t xml:space="preserve"> 7 </w:t>
            </w:r>
            <w:r>
              <w:rPr>
                <w:rFonts w:ascii="宋体" w:hAnsi="宋体" w:cs="宋体"/>
                <w:color w:val="auto"/>
                <w:kern w:val="0"/>
                <w:sz w:val="20"/>
                <w:highlight w:val="none"/>
              </w:rPr>
              <w:t>天内采取补足、更换或退货等措施,以满足规格的要求，由此发生的一切损失和费用由投标人承担。</w:t>
            </w:r>
          </w:p>
        </w:tc>
      </w:tr>
      <w:tr>
        <w:tblPrEx>
          <w:tblLayout w:type="fixed"/>
          <w:tblCellMar>
            <w:top w:w="0" w:type="dxa"/>
            <w:left w:w="0" w:type="dxa"/>
            <w:bottom w:w="0" w:type="dxa"/>
            <w:right w:w="0" w:type="dxa"/>
          </w:tblCellMar>
        </w:tblPrEx>
        <w:trPr>
          <w:trHeight w:val="350" w:hRule="atLeast"/>
        </w:trPr>
        <w:tc>
          <w:tcPr>
            <w:tcW w:w="12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1577"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40" w:lineRule="atLeast"/>
              <w:jc w:val="left"/>
              <w:rPr>
                <w:rFonts w:ascii="宋体" w:hAnsi="宋体" w:cs="宋体"/>
                <w:color w:val="auto"/>
                <w:kern w:val="0"/>
                <w:sz w:val="20"/>
                <w:highlight w:val="none"/>
              </w:rPr>
            </w:pPr>
            <w:r>
              <w:rPr>
                <w:rFonts w:ascii="宋体" w:hAnsi="宋体" w:cs="宋体"/>
                <w:color w:val="auto"/>
                <w:spacing w:val="-3"/>
                <w:kern w:val="0"/>
                <w:sz w:val="20"/>
                <w:highlight w:val="none"/>
              </w:rPr>
              <w:t>2.3投标人负责货物的现场安装和调试,提供货物安装、调试和维修所需的专用工具和辅助材料。投标人应在货物运至指定地点后一周内开始安装调试,并在</w:t>
            </w:r>
            <w:r>
              <w:rPr>
                <w:rFonts w:ascii="宋体" w:hAnsi="宋体" w:cs="宋体"/>
                <w:color w:val="auto"/>
                <w:kern w:val="0"/>
                <w:sz w:val="20"/>
                <w:highlight w:val="none"/>
                <w:u w:val="single"/>
              </w:rPr>
              <w:t xml:space="preserve"> 7 </w:t>
            </w:r>
            <w:r>
              <w:rPr>
                <w:rFonts w:ascii="宋体" w:hAnsi="宋体" w:cs="宋体"/>
                <w:color w:val="auto"/>
                <w:spacing w:val="-3"/>
                <w:kern w:val="0"/>
                <w:sz w:val="20"/>
                <w:highlight w:val="none"/>
              </w:rPr>
              <w:t>天内安装调试完毕。</w:t>
            </w:r>
          </w:p>
        </w:tc>
      </w:tr>
      <w:tr>
        <w:tblPrEx>
          <w:tblLayout w:type="fixed"/>
          <w:tblCellMar>
            <w:top w:w="0" w:type="dxa"/>
            <w:left w:w="0" w:type="dxa"/>
            <w:bottom w:w="0" w:type="dxa"/>
            <w:right w:w="0" w:type="dxa"/>
          </w:tblCellMar>
        </w:tblPrEx>
        <w:trPr>
          <w:trHeight w:val="350" w:hRule="atLeast"/>
        </w:trPr>
        <w:tc>
          <w:tcPr>
            <w:tcW w:w="12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1577"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40" w:lineRule="atLeast"/>
              <w:jc w:val="left"/>
              <w:rPr>
                <w:rFonts w:ascii="宋体" w:hAnsi="宋体" w:cs="宋体"/>
                <w:color w:val="auto"/>
                <w:kern w:val="0"/>
                <w:sz w:val="20"/>
                <w:highlight w:val="none"/>
              </w:rPr>
            </w:pPr>
            <w:r>
              <w:rPr>
                <w:rFonts w:ascii="宋体" w:hAnsi="宋体" w:cs="宋体"/>
                <w:color w:val="auto"/>
                <w:spacing w:val="-3"/>
                <w:kern w:val="0"/>
                <w:sz w:val="20"/>
                <w:highlight w:val="none"/>
              </w:rPr>
              <w:t>2.4由投标人代表和采购人组成验收小组对产品进行验收。验收标准按照国家规定标准执行。经检验设备正常运作后签署验收报告,产品保修期自验收合格之日起算。</w:t>
            </w:r>
          </w:p>
        </w:tc>
      </w:tr>
      <w:tr>
        <w:tblPrEx>
          <w:tblLayout w:type="fixed"/>
          <w:tblCellMar>
            <w:top w:w="0" w:type="dxa"/>
            <w:left w:w="0" w:type="dxa"/>
            <w:bottom w:w="0" w:type="dxa"/>
            <w:right w:w="0" w:type="dxa"/>
          </w:tblCellMar>
        </w:tblPrEx>
        <w:trPr>
          <w:trHeight w:val="752" w:hRule="atLeast"/>
        </w:trPr>
        <w:tc>
          <w:tcPr>
            <w:tcW w:w="12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cs="宋体"/>
                <w:color w:val="auto"/>
                <w:kern w:val="0"/>
                <w:sz w:val="20"/>
                <w:highlight w:val="none"/>
              </w:rPr>
            </w:pPr>
            <w:r>
              <w:rPr>
                <w:rFonts w:ascii="宋体" w:hAnsi="宋体" w:cs="宋体"/>
                <w:b/>
                <w:bCs/>
                <w:color w:val="auto"/>
                <w:kern w:val="0"/>
                <w:sz w:val="20"/>
                <w:highlight w:val="none"/>
              </w:rPr>
              <w:t>3</w:t>
            </w:r>
          </w:p>
        </w:tc>
        <w:tc>
          <w:tcPr>
            <w:tcW w:w="15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cs="宋体"/>
                <w:color w:val="auto"/>
                <w:kern w:val="0"/>
                <w:sz w:val="20"/>
                <w:highlight w:val="none"/>
              </w:rPr>
            </w:pPr>
            <w:r>
              <w:rPr>
                <w:rFonts w:ascii="宋体" w:hAnsi="宋体" w:cs="宋体"/>
                <w:b/>
                <w:bCs/>
                <w:color w:val="auto"/>
                <w:kern w:val="0"/>
                <w:sz w:val="20"/>
                <w:highlight w:val="none"/>
              </w:rPr>
              <w:t>培训</w:t>
            </w: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jc w:val="left"/>
              <w:rPr>
                <w:rFonts w:ascii="宋体" w:hAnsi="宋体" w:cs="宋体"/>
                <w:color w:val="auto"/>
                <w:kern w:val="0"/>
                <w:sz w:val="20"/>
                <w:highlight w:val="none"/>
              </w:rPr>
            </w:pPr>
            <w:r>
              <w:rPr>
                <w:rFonts w:ascii="宋体" w:hAnsi="宋体" w:cs="宋体"/>
                <w:color w:val="auto"/>
                <w:kern w:val="0"/>
                <w:sz w:val="20"/>
                <w:highlight w:val="none"/>
              </w:rPr>
              <w:t>3.1中标人应派专业技术人员免费对采购单位指定人员进行定期培训及指导，直至其完全掌握设备的基本故障处理技术。</w:t>
            </w:r>
          </w:p>
        </w:tc>
      </w:tr>
      <w:tr>
        <w:tblPrEx>
          <w:tblLayout w:type="fixed"/>
          <w:tblCellMar>
            <w:top w:w="0" w:type="dxa"/>
            <w:left w:w="0" w:type="dxa"/>
            <w:bottom w:w="0" w:type="dxa"/>
            <w:right w:w="0" w:type="dxa"/>
          </w:tblCellMar>
        </w:tblPrEx>
        <w:trPr>
          <w:trHeight w:val="350" w:hRule="atLeast"/>
        </w:trPr>
        <w:tc>
          <w:tcPr>
            <w:tcW w:w="122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cs="宋体"/>
                <w:color w:val="auto"/>
                <w:kern w:val="0"/>
                <w:sz w:val="20"/>
                <w:highlight w:val="none"/>
              </w:rPr>
            </w:pPr>
            <w:r>
              <w:rPr>
                <w:rFonts w:ascii="宋体" w:hAnsi="宋体" w:cs="宋体"/>
                <w:b/>
                <w:bCs/>
                <w:color w:val="auto"/>
                <w:kern w:val="0"/>
                <w:sz w:val="20"/>
                <w:highlight w:val="none"/>
              </w:rPr>
              <w:t>4</w:t>
            </w:r>
          </w:p>
        </w:tc>
        <w:tc>
          <w:tcPr>
            <w:tcW w:w="157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宋体" w:hAnsi="宋体" w:cs="宋体"/>
                <w:color w:val="auto"/>
                <w:kern w:val="0"/>
                <w:sz w:val="20"/>
                <w:highlight w:val="none"/>
              </w:rPr>
            </w:pPr>
            <w:r>
              <w:rPr>
                <w:rFonts w:ascii="宋体" w:hAnsi="宋体" w:cs="宋体"/>
                <w:b/>
                <w:bCs/>
                <w:color w:val="auto"/>
                <w:kern w:val="0"/>
                <w:sz w:val="20"/>
                <w:highlight w:val="none"/>
              </w:rPr>
              <w:t>知识产权</w:t>
            </w: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40" w:lineRule="atLeast"/>
              <w:jc w:val="left"/>
              <w:rPr>
                <w:rFonts w:ascii="宋体" w:hAnsi="宋体" w:cs="宋体"/>
                <w:color w:val="auto"/>
                <w:kern w:val="0"/>
                <w:sz w:val="20"/>
                <w:highlight w:val="none"/>
              </w:rPr>
            </w:pPr>
            <w:r>
              <w:rPr>
                <w:rFonts w:ascii="宋体" w:hAnsi="宋体" w:cs="宋体"/>
                <w:color w:val="auto"/>
                <w:kern w:val="0"/>
                <w:sz w:val="20"/>
                <w:highlight w:val="none"/>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Layout w:type="fixed"/>
          <w:tblCellMar>
            <w:top w:w="0" w:type="dxa"/>
            <w:left w:w="0" w:type="dxa"/>
            <w:bottom w:w="0" w:type="dxa"/>
            <w:right w:w="0" w:type="dxa"/>
          </w:tblCellMar>
        </w:tblPrEx>
        <w:trPr>
          <w:trHeight w:val="743" w:hRule="atLeast"/>
        </w:trPr>
        <w:tc>
          <w:tcPr>
            <w:tcW w:w="12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1577"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jc w:val="left"/>
              <w:rPr>
                <w:rFonts w:ascii="宋体" w:hAnsi="宋体" w:cs="宋体"/>
                <w:color w:val="auto"/>
                <w:kern w:val="0"/>
                <w:sz w:val="20"/>
                <w:highlight w:val="none"/>
              </w:rPr>
            </w:pPr>
            <w:r>
              <w:rPr>
                <w:rFonts w:ascii="宋体" w:hAnsi="宋体" w:cs="宋体"/>
                <w:color w:val="auto"/>
                <w:kern w:val="0"/>
                <w:sz w:val="20"/>
                <w:highlight w:val="none"/>
              </w:rPr>
              <w:t>4.2采购人购买产品后，有权对该产品与其他设备进行配套、整合或适当改进，而免受侵犯专利权的起诉。</w:t>
            </w:r>
          </w:p>
        </w:tc>
      </w:tr>
      <w:tr>
        <w:tblPrEx>
          <w:tblLayout w:type="fixed"/>
          <w:tblCellMar>
            <w:top w:w="0" w:type="dxa"/>
            <w:left w:w="0" w:type="dxa"/>
            <w:bottom w:w="0" w:type="dxa"/>
            <w:right w:w="0" w:type="dxa"/>
          </w:tblCellMar>
        </w:tblPrEx>
        <w:trPr>
          <w:trHeight w:val="743" w:hRule="atLeast"/>
        </w:trPr>
        <w:tc>
          <w:tcPr>
            <w:tcW w:w="12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cs="宋体"/>
                <w:color w:val="auto"/>
                <w:kern w:val="0"/>
                <w:sz w:val="20"/>
                <w:highlight w:val="none"/>
              </w:rPr>
            </w:pPr>
            <w:r>
              <w:rPr>
                <w:rFonts w:ascii="宋体" w:hAnsi="宋体" w:cs="宋体"/>
                <w:b/>
                <w:bCs/>
                <w:color w:val="auto"/>
                <w:kern w:val="0"/>
                <w:sz w:val="20"/>
                <w:highlight w:val="none"/>
              </w:rPr>
              <w:t>5</w:t>
            </w:r>
          </w:p>
        </w:tc>
        <w:tc>
          <w:tcPr>
            <w:tcW w:w="15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cs="宋体"/>
                <w:color w:val="auto"/>
                <w:kern w:val="0"/>
                <w:sz w:val="20"/>
                <w:highlight w:val="none"/>
              </w:rPr>
            </w:pPr>
            <w:r>
              <w:rPr>
                <w:rFonts w:ascii="宋体" w:hAnsi="宋体" w:cs="宋体"/>
                <w:b/>
                <w:bCs/>
                <w:color w:val="auto"/>
                <w:kern w:val="0"/>
                <w:sz w:val="20"/>
                <w:highlight w:val="none"/>
              </w:rPr>
              <w:t>付款方式</w:t>
            </w: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340" w:lineRule="atLeast"/>
              <w:jc w:val="left"/>
              <w:rPr>
                <w:rFonts w:ascii="宋体" w:hAnsi="宋体" w:cs="宋体"/>
                <w:color w:val="auto"/>
                <w:kern w:val="0"/>
                <w:sz w:val="20"/>
                <w:highlight w:val="none"/>
              </w:rPr>
            </w:pPr>
            <w:r>
              <w:rPr>
                <w:rFonts w:ascii="宋体" w:hAnsi="宋体" w:cs="宋体"/>
                <w:color w:val="auto"/>
                <w:kern w:val="0"/>
                <w:sz w:val="20"/>
                <w:highlight w:val="none"/>
              </w:rPr>
              <w:t>5.1货到指定地点、验收合格并提供全额发票后支付95%，5%余款作为质保金。质保金在</w:t>
            </w:r>
            <w:r>
              <w:rPr>
                <w:rFonts w:hint="eastAsia" w:ascii="宋体" w:hAnsi="宋体" w:cs="宋体"/>
                <w:color w:val="auto"/>
                <w:kern w:val="0"/>
                <w:sz w:val="20"/>
                <w:highlight w:val="none"/>
              </w:rPr>
              <w:t>验收合格一年</w:t>
            </w:r>
            <w:r>
              <w:rPr>
                <w:rFonts w:ascii="宋体" w:hAnsi="宋体" w:cs="宋体"/>
                <w:color w:val="auto"/>
                <w:kern w:val="0"/>
                <w:sz w:val="20"/>
                <w:highlight w:val="none"/>
              </w:rPr>
              <w:t>后，经采购人确认产品质量无问题后支付</w:t>
            </w:r>
          </w:p>
        </w:tc>
      </w:tr>
      <w:tr>
        <w:tblPrEx>
          <w:tblLayout w:type="fixed"/>
          <w:tblCellMar>
            <w:top w:w="0" w:type="dxa"/>
            <w:left w:w="0" w:type="dxa"/>
            <w:bottom w:w="0" w:type="dxa"/>
            <w:right w:w="0" w:type="dxa"/>
          </w:tblCellMar>
        </w:tblPrEx>
        <w:trPr>
          <w:trHeight w:val="575" w:hRule="atLeast"/>
        </w:trPr>
        <w:tc>
          <w:tcPr>
            <w:tcW w:w="122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cs="宋体"/>
                <w:color w:val="auto"/>
                <w:kern w:val="0"/>
                <w:sz w:val="20"/>
                <w:highlight w:val="none"/>
              </w:rPr>
            </w:pPr>
            <w:r>
              <w:rPr>
                <w:rFonts w:ascii="宋体" w:hAnsi="宋体" w:cs="宋体"/>
                <w:b/>
                <w:bCs/>
                <w:color w:val="auto"/>
                <w:kern w:val="0"/>
                <w:sz w:val="20"/>
                <w:highlight w:val="none"/>
              </w:rPr>
              <w:t>6</w:t>
            </w:r>
          </w:p>
        </w:tc>
        <w:tc>
          <w:tcPr>
            <w:tcW w:w="157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宋体" w:hAnsi="宋体" w:cs="宋体"/>
                <w:color w:val="auto"/>
                <w:kern w:val="0"/>
                <w:sz w:val="20"/>
                <w:highlight w:val="none"/>
              </w:rPr>
            </w:pPr>
            <w:r>
              <w:rPr>
                <w:rFonts w:ascii="宋体" w:hAnsi="宋体" w:cs="宋体"/>
                <w:b/>
                <w:bCs/>
                <w:color w:val="auto"/>
                <w:kern w:val="0"/>
                <w:sz w:val="20"/>
                <w:highlight w:val="none"/>
              </w:rPr>
              <w:t>违约责任</w:t>
            </w: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color w:val="auto"/>
                <w:highlight w:val="none"/>
              </w:rPr>
            </w:pPr>
            <w:r>
              <w:rPr>
                <w:rFonts w:hint="eastAsia"/>
                <w:color w:val="auto"/>
                <w:highlight w:val="none"/>
              </w:rPr>
              <w:t>6.1中标人不能交货的，需偿付不能交货部分货款的</w:t>
            </w:r>
            <w:r>
              <w:rPr>
                <w:rFonts w:hint="eastAsia"/>
                <w:color w:val="auto"/>
                <w:highlight w:val="none"/>
                <w:u w:val="single"/>
              </w:rPr>
              <w:t xml:space="preserve">  10  </w:t>
            </w:r>
            <w:r>
              <w:rPr>
                <w:rFonts w:hint="eastAsia"/>
                <w:color w:val="auto"/>
                <w:highlight w:val="none"/>
              </w:rPr>
              <w:t>%的违约金并按主管部门相关规定处理。</w:t>
            </w:r>
          </w:p>
        </w:tc>
      </w:tr>
      <w:tr>
        <w:tblPrEx>
          <w:tblLayout w:type="fixed"/>
          <w:tblCellMar>
            <w:top w:w="0" w:type="dxa"/>
            <w:left w:w="0" w:type="dxa"/>
            <w:bottom w:w="0" w:type="dxa"/>
            <w:right w:w="0" w:type="dxa"/>
          </w:tblCellMar>
        </w:tblPrEx>
        <w:trPr>
          <w:trHeight w:val="554" w:hRule="atLeast"/>
        </w:trPr>
        <w:tc>
          <w:tcPr>
            <w:tcW w:w="12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1577"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jc w:val="left"/>
              <w:rPr>
                <w:rFonts w:ascii="宋体" w:hAnsi="宋体" w:cs="宋体"/>
                <w:color w:val="auto"/>
                <w:kern w:val="0"/>
                <w:sz w:val="20"/>
                <w:highlight w:val="none"/>
              </w:rPr>
            </w:pPr>
            <w:r>
              <w:rPr>
                <w:rFonts w:hint="eastAsia"/>
                <w:color w:val="auto"/>
                <w:highlight w:val="none"/>
              </w:rPr>
              <w:t>6.2中标人逾期交货的，将被没收履约保证金并按主管部门相关规定处理。</w:t>
            </w:r>
          </w:p>
        </w:tc>
      </w:tr>
      <w:tr>
        <w:tblPrEx>
          <w:tblLayout w:type="fixed"/>
          <w:tblCellMar>
            <w:top w:w="0" w:type="dxa"/>
            <w:left w:w="0" w:type="dxa"/>
            <w:bottom w:w="0" w:type="dxa"/>
            <w:right w:w="0" w:type="dxa"/>
          </w:tblCellMar>
        </w:tblPrEx>
        <w:trPr>
          <w:trHeight w:val="350" w:hRule="atLeast"/>
        </w:trPr>
        <w:tc>
          <w:tcPr>
            <w:tcW w:w="12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1577"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auto"/>
                <w:kern w:val="0"/>
                <w:sz w:val="20"/>
                <w:highlight w:val="none"/>
              </w:rPr>
            </w:pP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jc w:val="left"/>
              <w:rPr>
                <w:rFonts w:ascii="宋体" w:hAnsi="宋体" w:cs="宋体"/>
                <w:color w:val="auto"/>
                <w:kern w:val="0"/>
                <w:sz w:val="20"/>
                <w:highlight w:val="none"/>
              </w:rPr>
            </w:pPr>
            <w:r>
              <w:rPr>
                <w:rFonts w:hint="eastAsia"/>
                <w:color w:val="auto"/>
                <w:highlight w:val="none"/>
              </w:rPr>
              <w:t>6.3中标人所交付产品、工程或服务不符合其投标承诺的，或在投标阶段为了中标而盲目虚假承诺、低价恶性竞争，在履约阶段则通过偷工减料、以次充好而获取利润的，将被没收履约保证金，并被深圳市政府采购中心评为履约等级“差”并按主管部门相关规定处理。</w:t>
            </w:r>
          </w:p>
        </w:tc>
      </w:tr>
      <w:tr>
        <w:tblPrEx>
          <w:tblLayout w:type="fixed"/>
          <w:tblCellMar>
            <w:top w:w="0" w:type="dxa"/>
            <w:left w:w="0" w:type="dxa"/>
            <w:bottom w:w="0" w:type="dxa"/>
            <w:right w:w="0" w:type="dxa"/>
          </w:tblCellMar>
        </w:tblPrEx>
        <w:trPr>
          <w:trHeight w:val="350" w:hRule="atLeast"/>
        </w:trPr>
        <w:tc>
          <w:tcPr>
            <w:tcW w:w="12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auto"/>
                <w:kern w:val="0"/>
                <w:sz w:val="20"/>
                <w:highlight w:val="none"/>
              </w:rPr>
            </w:pPr>
            <w:r>
              <w:rPr>
                <w:rFonts w:ascii="宋体" w:hAnsi="宋体" w:cs="宋体"/>
                <w:b/>
                <w:bCs/>
                <w:color w:val="auto"/>
                <w:kern w:val="0"/>
                <w:sz w:val="20"/>
                <w:highlight w:val="none"/>
              </w:rPr>
              <w:t>7</w:t>
            </w:r>
          </w:p>
        </w:tc>
        <w:tc>
          <w:tcPr>
            <w:tcW w:w="1577" w:type="dxa"/>
            <w:tcBorders>
              <w:top w:val="nil"/>
              <w:left w:val="nil"/>
              <w:bottom w:val="single" w:color="auto" w:sz="8" w:space="0"/>
              <w:right w:val="single" w:color="auto" w:sz="8" w:space="0"/>
            </w:tcBorders>
            <w:vAlign w:val="center"/>
          </w:tcPr>
          <w:p>
            <w:pPr>
              <w:widowControl/>
              <w:jc w:val="center"/>
              <w:rPr>
                <w:rFonts w:ascii="宋体" w:hAnsi="宋体" w:cs="宋体"/>
                <w:color w:val="auto"/>
                <w:kern w:val="0"/>
                <w:sz w:val="20"/>
                <w:highlight w:val="none"/>
              </w:rPr>
            </w:pPr>
            <w:r>
              <w:rPr>
                <w:rFonts w:ascii="宋体" w:hAnsi="宋体" w:cs="宋体"/>
                <w:b/>
                <w:bCs/>
                <w:color w:val="auto"/>
                <w:kern w:val="0"/>
                <w:sz w:val="20"/>
                <w:highlight w:val="none"/>
              </w:rPr>
              <w:t>其他</w:t>
            </w: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color w:val="auto"/>
                <w:kern w:val="0"/>
                <w:sz w:val="20"/>
                <w:highlight w:val="none"/>
              </w:rPr>
            </w:pPr>
            <w:r>
              <w:rPr>
                <w:rFonts w:ascii="宋体" w:hAnsi="宋体" w:cs="宋体"/>
                <w:color w:val="auto"/>
                <w:kern w:val="0"/>
                <w:sz w:val="20"/>
                <w:highlight w:val="none"/>
              </w:rPr>
              <w:t>7.1投标人应按其投标文件中的承诺，进行其他售后服务工作。</w:t>
            </w:r>
          </w:p>
        </w:tc>
      </w:tr>
      <w:tr>
        <w:tblPrEx>
          <w:tblLayout w:type="fixed"/>
          <w:tblCellMar>
            <w:top w:w="0" w:type="dxa"/>
            <w:left w:w="0" w:type="dxa"/>
            <w:bottom w:w="0" w:type="dxa"/>
            <w:right w:w="0" w:type="dxa"/>
          </w:tblCellMar>
        </w:tblPrEx>
        <w:trPr>
          <w:trHeight w:val="350" w:hRule="atLeast"/>
        </w:trPr>
        <w:tc>
          <w:tcPr>
            <w:tcW w:w="12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bCs/>
                <w:color w:val="auto"/>
                <w:szCs w:val="21"/>
                <w:highlight w:val="none"/>
              </w:rPr>
              <w:t>★</w:t>
            </w:r>
            <w:r>
              <w:rPr>
                <w:rFonts w:hint="eastAsia" w:asciiTheme="minorEastAsia" w:hAnsiTheme="minorEastAsia" w:eastAsiaTheme="minorEastAsia"/>
                <w:b/>
                <w:color w:val="auto"/>
                <w:szCs w:val="21"/>
                <w:highlight w:val="none"/>
              </w:rPr>
              <w:t>8</w:t>
            </w:r>
          </w:p>
        </w:tc>
        <w:tc>
          <w:tcPr>
            <w:tcW w:w="15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asciiTheme="minorEastAsia" w:hAnsiTheme="minorEastAsia" w:eastAsiaTheme="minorEastAsia"/>
                <w:b/>
                <w:color w:val="auto"/>
                <w:kern w:val="0"/>
                <w:szCs w:val="21"/>
                <w:highlight w:val="none"/>
              </w:rPr>
            </w:pPr>
            <w:r>
              <w:rPr>
                <w:rFonts w:hint="eastAsia" w:asciiTheme="minorEastAsia" w:hAnsiTheme="minorEastAsia" w:eastAsiaTheme="minorEastAsia"/>
                <w:b/>
                <w:color w:val="auto"/>
                <w:kern w:val="0"/>
                <w:szCs w:val="21"/>
                <w:highlight w:val="none"/>
              </w:rPr>
              <w:t>项目(产品)要求</w:t>
            </w:r>
          </w:p>
        </w:tc>
        <w:tc>
          <w:tcPr>
            <w:tcW w:w="57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8.1若所投产品为进口则投标人必须提供由设备制造商或授权的中国总代理签署的合法有效的保修、维修承诺函。</w:t>
            </w:r>
          </w:p>
          <w:p>
            <w:pPr>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8.2</w:t>
            </w:r>
            <w:r>
              <w:rPr>
                <w:rFonts w:cs="宋体" w:asciiTheme="minorEastAsia" w:hAnsiTheme="minorEastAsia" w:eastAsiaTheme="minorEastAsia"/>
                <w:color w:val="auto"/>
                <w:kern w:val="0"/>
                <w:szCs w:val="21"/>
                <w:highlight w:val="none"/>
              </w:rPr>
              <w:t>投标人必须提供所投产品的《医疗器械注册（备案）证》的扫描件，原件备查（开标时，该</w:t>
            </w:r>
            <w:r>
              <w:rPr>
                <w:rFonts w:hint="eastAsia" w:cs="宋体" w:asciiTheme="minorEastAsia" w:hAnsiTheme="minorEastAsia" w:eastAsiaTheme="minorEastAsia"/>
                <w:color w:val="auto"/>
                <w:kern w:val="0"/>
                <w:szCs w:val="21"/>
                <w:highlight w:val="none"/>
              </w:rPr>
              <w:t>注册</w:t>
            </w:r>
            <w:r>
              <w:rPr>
                <w:rFonts w:cs="宋体" w:asciiTheme="minorEastAsia" w:hAnsiTheme="minorEastAsia" w:eastAsiaTheme="minorEastAsia"/>
                <w:color w:val="auto"/>
                <w:kern w:val="0"/>
                <w:szCs w:val="21"/>
                <w:highlight w:val="none"/>
              </w:rPr>
              <w:t>证应在有效期内；若不在有效期内，则需提供该</w:t>
            </w:r>
            <w:r>
              <w:rPr>
                <w:rFonts w:hint="eastAsia" w:cs="宋体" w:asciiTheme="minorEastAsia" w:hAnsiTheme="minorEastAsia" w:eastAsiaTheme="minorEastAsia"/>
                <w:color w:val="auto"/>
                <w:kern w:val="0"/>
                <w:szCs w:val="21"/>
                <w:highlight w:val="none"/>
              </w:rPr>
              <w:t>注册</w:t>
            </w:r>
            <w:r>
              <w:rPr>
                <w:rFonts w:cs="宋体" w:asciiTheme="minorEastAsia" w:hAnsiTheme="minorEastAsia" w:eastAsiaTheme="minorEastAsia"/>
                <w:color w:val="auto"/>
                <w:kern w:val="0"/>
                <w:szCs w:val="21"/>
                <w:highlight w:val="none"/>
              </w:rPr>
              <w:t>证和所投产品在该</w:t>
            </w:r>
            <w:r>
              <w:rPr>
                <w:rFonts w:hint="eastAsia" w:cs="宋体" w:asciiTheme="minorEastAsia" w:hAnsiTheme="minorEastAsia" w:eastAsiaTheme="minorEastAsia"/>
                <w:color w:val="auto"/>
                <w:kern w:val="0"/>
                <w:szCs w:val="21"/>
                <w:highlight w:val="none"/>
              </w:rPr>
              <w:t>注册</w:t>
            </w:r>
            <w:r>
              <w:rPr>
                <w:rFonts w:cs="宋体" w:asciiTheme="minorEastAsia" w:hAnsiTheme="minorEastAsia" w:eastAsiaTheme="minorEastAsia"/>
                <w:color w:val="auto"/>
                <w:kern w:val="0"/>
                <w:szCs w:val="21"/>
                <w:highlight w:val="none"/>
              </w:rPr>
              <w:t>证有效期内生产的药监局出具的证明文件）</w:t>
            </w:r>
            <w:r>
              <w:rPr>
                <w:rFonts w:hint="eastAsia" w:asciiTheme="minorEastAsia" w:hAnsiTheme="minorEastAsia" w:eastAsiaTheme="minorEastAsia"/>
                <w:bCs/>
                <w:color w:val="auto"/>
                <w:szCs w:val="21"/>
                <w:highlight w:val="none"/>
              </w:rPr>
              <w:t>。</w:t>
            </w:r>
          </w:p>
        </w:tc>
      </w:tr>
    </w:tbl>
    <w:p>
      <w:pPr>
        <w:jc w:val="center"/>
        <w:outlineLvl w:val="1"/>
        <w:rPr>
          <w:rFonts w:ascii="黑体" w:hAnsi="宋体" w:eastAsia="黑体"/>
          <w:bCs/>
          <w:color w:val="auto"/>
          <w:sz w:val="24"/>
          <w:szCs w:val="24"/>
          <w:highlight w:val="none"/>
        </w:rPr>
      </w:pPr>
    </w:p>
    <w:p>
      <w:pPr>
        <w:outlineLvl w:val="1"/>
        <w:rPr>
          <w:rFonts w:ascii="黑体" w:hAnsi="宋体" w:eastAsia="黑体"/>
          <w:bCs/>
          <w:color w:val="auto"/>
          <w:sz w:val="24"/>
          <w:szCs w:val="24"/>
          <w:highlight w:val="none"/>
        </w:rPr>
      </w:pPr>
    </w:p>
    <w:p>
      <w:pPr>
        <w:spacing w:line="350" w:lineRule="exact"/>
        <w:ind w:firstLine="420" w:firstLineChars="200"/>
        <w:rPr>
          <w:rFonts w:ascii="宋体" w:hAnsi="宋体"/>
          <w:color w:val="auto"/>
          <w:szCs w:val="21"/>
          <w:highlight w:val="none"/>
        </w:rPr>
      </w:pPr>
    </w:p>
    <w:p>
      <w:pPr>
        <w:jc w:val="center"/>
        <w:outlineLvl w:val="1"/>
        <w:rPr>
          <w:rFonts w:ascii="黑体" w:eastAsia="黑体"/>
          <w:caps/>
          <w:color w:val="auto"/>
          <w:sz w:val="24"/>
          <w:szCs w:val="24"/>
          <w:highlight w:val="none"/>
        </w:rPr>
      </w:pPr>
      <w:bookmarkStart w:id="5" w:name="_Toc353262376"/>
      <w:bookmarkStart w:id="6" w:name="_Toc333420706"/>
      <w:r>
        <w:rPr>
          <w:rFonts w:hint="eastAsia" w:ascii="黑体" w:eastAsia="黑体"/>
          <w:caps/>
          <w:color w:val="auto"/>
          <w:sz w:val="24"/>
          <w:szCs w:val="24"/>
          <w:highlight w:val="none"/>
        </w:rPr>
        <w:t>第五节  投标文件否决性条款摘要</w:t>
      </w:r>
      <w:bookmarkEnd w:id="5"/>
      <w:bookmarkEnd w:id="6"/>
    </w:p>
    <w:p>
      <w:pPr>
        <w:spacing w:line="360" w:lineRule="exact"/>
        <w:ind w:firstLine="422" w:firstLineChars="200"/>
        <w:rPr>
          <w:rFonts w:ascii="宋体" w:hAnsi="宋体"/>
          <w:b/>
          <w:color w:val="auto"/>
          <w:szCs w:val="21"/>
          <w:highlight w:val="none"/>
        </w:rPr>
      </w:pPr>
      <w:r>
        <w:rPr>
          <w:rFonts w:ascii="宋体" w:hAnsi="宋体"/>
          <w:b/>
          <w:color w:val="auto"/>
          <w:highlight w:val="none"/>
        </w:rPr>
        <w:t>1、</w:t>
      </w:r>
      <w:r>
        <w:rPr>
          <w:rFonts w:ascii="宋体" w:hAnsi="宋体"/>
          <w:b/>
          <w:color w:val="auto"/>
          <w:szCs w:val="21"/>
          <w:highlight w:val="none"/>
        </w:rPr>
        <w:t>投标文件有下列情形之一的，不予受理：</w:t>
      </w:r>
    </w:p>
    <w:p>
      <w:pPr>
        <w:spacing w:line="360" w:lineRule="exact"/>
        <w:ind w:firstLine="420" w:firstLineChars="200"/>
        <w:rPr>
          <w:rFonts w:ascii="宋体" w:hAnsi="宋体"/>
          <w:color w:val="auto"/>
          <w:szCs w:val="21"/>
          <w:highlight w:val="none"/>
        </w:rPr>
      </w:pPr>
      <w:r>
        <w:rPr>
          <w:rFonts w:ascii="宋体" w:hAnsi="宋体"/>
          <w:color w:val="auto"/>
          <w:highlight w:val="none"/>
        </w:rPr>
        <w:t xml:space="preserve">1.1  </w:t>
      </w:r>
      <w:r>
        <w:rPr>
          <w:rFonts w:ascii="宋体" w:hAnsi="宋体"/>
          <w:color w:val="auto"/>
          <w:szCs w:val="21"/>
          <w:highlight w:val="none"/>
        </w:rPr>
        <w:t>在投标截止时间以后送达的，或者未送达指定地点的；</w:t>
      </w:r>
    </w:p>
    <w:p>
      <w:pPr>
        <w:spacing w:line="360" w:lineRule="exact"/>
        <w:ind w:firstLine="420" w:firstLineChars="200"/>
        <w:rPr>
          <w:rFonts w:ascii="宋体" w:hAnsi="宋体"/>
          <w:color w:val="auto"/>
          <w:highlight w:val="none"/>
        </w:rPr>
      </w:pPr>
      <w:r>
        <w:rPr>
          <w:rFonts w:ascii="宋体" w:hAnsi="宋体"/>
          <w:color w:val="auto"/>
          <w:highlight w:val="none"/>
        </w:rPr>
        <w:t xml:space="preserve">1.2  </w:t>
      </w:r>
      <w:r>
        <w:rPr>
          <w:rFonts w:hint="eastAsia" w:ascii="宋体" w:hAnsi="宋体"/>
          <w:color w:val="auto"/>
          <w:highlight w:val="none"/>
        </w:rPr>
        <w:t>投标文件未密封的；</w:t>
      </w:r>
    </w:p>
    <w:p>
      <w:pPr>
        <w:spacing w:line="360" w:lineRule="exact"/>
        <w:ind w:firstLine="420" w:firstLineChars="200"/>
        <w:rPr>
          <w:rFonts w:ascii="宋体" w:hAnsi="宋体"/>
          <w:b/>
          <w:color w:val="auto"/>
          <w:szCs w:val="21"/>
          <w:highlight w:val="none"/>
        </w:rPr>
      </w:pPr>
      <w:r>
        <w:rPr>
          <w:rFonts w:hint="eastAsia" w:ascii="宋体" w:hAnsi="宋体"/>
          <w:color w:val="auto"/>
          <w:highlight w:val="none"/>
        </w:rPr>
        <w:t xml:space="preserve">1.3  </w:t>
      </w:r>
      <w:r>
        <w:rPr>
          <w:rFonts w:ascii="宋体" w:hAnsi="宋体"/>
          <w:color w:val="auto"/>
          <w:szCs w:val="21"/>
          <w:highlight w:val="none"/>
        </w:rPr>
        <w:t>投标人的名称与</w:t>
      </w:r>
      <w:bookmarkStart w:id="7" w:name="_Toc76871384"/>
      <w:r>
        <w:rPr>
          <w:rFonts w:ascii="宋体" w:hAnsi="宋体"/>
          <w:color w:val="auto"/>
          <w:szCs w:val="21"/>
          <w:highlight w:val="none"/>
        </w:rPr>
        <w:t>购买招标文件时登记</w:t>
      </w:r>
      <w:bookmarkEnd w:id="7"/>
      <w:r>
        <w:rPr>
          <w:rFonts w:ascii="宋体" w:hAnsi="宋体"/>
          <w:color w:val="auto"/>
          <w:szCs w:val="21"/>
          <w:highlight w:val="none"/>
        </w:rPr>
        <w:t>的不一致的。</w:t>
      </w:r>
    </w:p>
    <w:p>
      <w:pPr>
        <w:spacing w:line="360" w:lineRule="exact"/>
        <w:ind w:firstLine="422" w:firstLineChars="200"/>
        <w:rPr>
          <w:rFonts w:ascii="宋体" w:hAnsi="宋体"/>
          <w:b/>
          <w:color w:val="auto"/>
          <w:szCs w:val="21"/>
          <w:highlight w:val="none"/>
        </w:rPr>
      </w:pPr>
      <w:r>
        <w:rPr>
          <w:rFonts w:ascii="宋体" w:hAnsi="宋体"/>
          <w:b/>
          <w:color w:val="auto"/>
          <w:highlight w:val="none"/>
        </w:rPr>
        <w:t>2</w:t>
      </w:r>
      <w:r>
        <w:rPr>
          <w:rFonts w:hint="eastAsia" w:ascii="宋体" w:hAnsi="宋体"/>
          <w:b/>
          <w:color w:val="auto"/>
          <w:highlight w:val="none"/>
        </w:rPr>
        <w:t>、</w:t>
      </w:r>
      <w:r>
        <w:rPr>
          <w:rFonts w:ascii="宋体" w:hAnsi="宋体"/>
          <w:b/>
          <w:color w:val="auto"/>
          <w:szCs w:val="21"/>
          <w:highlight w:val="none"/>
        </w:rPr>
        <w:t>投标文件有下列</w:t>
      </w:r>
      <w:r>
        <w:rPr>
          <w:rFonts w:hint="eastAsia" w:ascii="宋体" w:hAnsi="宋体"/>
          <w:b/>
          <w:color w:val="auto"/>
          <w:szCs w:val="21"/>
          <w:highlight w:val="none"/>
        </w:rPr>
        <w:t>情形之一的，按无效标处理：</w:t>
      </w:r>
    </w:p>
    <w:p>
      <w:pPr>
        <w:spacing w:line="360" w:lineRule="exact"/>
        <w:ind w:firstLine="420" w:firstLineChars="200"/>
        <w:rPr>
          <w:rFonts w:ascii="宋体" w:hAnsi="宋体"/>
          <w:color w:val="auto"/>
          <w:szCs w:val="21"/>
          <w:highlight w:val="none"/>
        </w:rPr>
      </w:pPr>
      <w:r>
        <w:rPr>
          <w:rFonts w:hint="eastAsia" w:ascii="宋体" w:hAnsi="宋体"/>
          <w:color w:val="auto"/>
          <w:highlight w:val="none"/>
        </w:rPr>
        <w:t xml:space="preserve">2.1  </w:t>
      </w:r>
      <w:r>
        <w:rPr>
          <w:rFonts w:hint="eastAsia" w:ascii="宋体" w:hAnsi="宋体"/>
          <w:color w:val="auto"/>
          <w:szCs w:val="21"/>
          <w:highlight w:val="none"/>
        </w:rPr>
        <w:t>投标人未按照招标文件的要求提供投标保证金的；</w:t>
      </w:r>
      <w:r>
        <w:rPr>
          <w:rFonts w:ascii="宋体" w:hAnsi="宋体"/>
          <w:color w:val="auto"/>
          <w:szCs w:val="21"/>
          <w:highlight w:val="none"/>
        </w:rPr>
        <w:t xml:space="preserve"> </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2.2  投标文件无法定代表人签字或盖章，或签字人无法定代表人有效授权委托书原件的；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2.3  投标人资格条件不符合国家有关规定和招标文件要求；</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2.4  投标总价或分项报价超过预算控制金额的；</w:t>
      </w:r>
      <w:r>
        <w:rPr>
          <w:rFonts w:ascii="宋体" w:hAnsi="宋体"/>
          <w:color w:val="auto"/>
          <w:szCs w:val="21"/>
          <w:highlight w:val="none"/>
        </w:rPr>
        <w:t xml:space="preserve"> </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2.5  开标一览表出现无报价或报价为零或有选择性报价的；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2.6  </w:t>
      </w:r>
      <w:r>
        <w:rPr>
          <w:rFonts w:hint="eastAsia" w:ascii="宋体" w:hAnsi="宋体"/>
          <w:color w:val="auto"/>
          <w:spacing w:val="-2"/>
          <w:szCs w:val="21"/>
          <w:highlight w:val="none"/>
        </w:rPr>
        <w:t>投标人以他人的名义投标、串通投标、以行贿手段谋取中标或者以其他弄虚作假方式投标；</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2.7  </w:t>
      </w:r>
      <w:r>
        <w:rPr>
          <w:rFonts w:hint="eastAsia" w:ascii="宋体" w:hAnsi="宋体"/>
          <w:color w:val="auto"/>
          <w:spacing w:val="-2"/>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olor w:val="auto"/>
          <w:szCs w:val="21"/>
          <w:highlight w:val="none"/>
        </w:rPr>
        <w:t>；</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2.8  投标人拒不按照要求对投标文件进行澄清、说明或者补正的；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2.9  文件的关键内容字迹模糊、无法辨认的；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2.10  投标函未按规定填写的；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2.11  投标有效期不足的；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2.12  </w:t>
      </w:r>
      <w:r>
        <w:rPr>
          <w:rFonts w:hint="eastAsia" w:ascii="宋体" w:hAnsi="宋体"/>
          <w:color w:val="auto"/>
          <w:spacing w:val="-6"/>
          <w:szCs w:val="21"/>
          <w:highlight w:val="none"/>
        </w:rPr>
        <w:t>投标人的投标未能在实质上响应招标文件提出的所有实质性要求和条件（不可偏离条款）的；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2.13  </w:t>
      </w:r>
      <w:r>
        <w:rPr>
          <w:rFonts w:ascii="宋体" w:hAnsi="宋体"/>
          <w:color w:val="auto"/>
          <w:szCs w:val="21"/>
          <w:highlight w:val="none"/>
        </w:rPr>
        <w:t>投标报价有严重缺漏项目的</w:t>
      </w:r>
      <w:r>
        <w:rPr>
          <w:rFonts w:hint="eastAsia" w:ascii="宋体" w:hAnsi="宋体"/>
          <w:color w:val="auto"/>
          <w:szCs w:val="21"/>
          <w:highlight w:val="none"/>
        </w:rPr>
        <w:t>；</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2.14  联合体投标未附联合体各方共同投标协议的；联合体成员</w:t>
      </w:r>
      <w:r>
        <w:rPr>
          <w:rFonts w:ascii="宋体" w:hAnsi="宋体"/>
          <w:color w:val="auto"/>
          <w:szCs w:val="21"/>
          <w:highlight w:val="none"/>
        </w:rPr>
        <w:t>再以自己名义单独投标，</w:t>
      </w:r>
      <w:r>
        <w:rPr>
          <w:rFonts w:hint="eastAsia" w:ascii="宋体" w:hAnsi="宋体"/>
          <w:color w:val="auto"/>
          <w:szCs w:val="21"/>
          <w:highlight w:val="none"/>
        </w:rPr>
        <w:t>及</w:t>
      </w:r>
      <w:r>
        <w:rPr>
          <w:rFonts w:ascii="宋体" w:hAnsi="宋体"/>
          <w:color w:val="auto"/>
          <w:szCs w:val="21"/>
          <w:highlight w:val="none"/>
        </w:rPr>
        <w:t>组成或参加其他联合体在同一项目中投标</w:t>
      </w:r>
      <w:r>
        <w:rPr>
          <w:rFonts w:hint="eastAsia" w:ascii="宋体" w:hAnsi="宋体"/>
          <w:color w:val="auto"/>
          <w:szCs w:val="21"/>
          <w:highlight w:val="none"/>
        </w:rPr>
        <w:t>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2.15  </w:t>
      </w:r>
      <w:r>
        <w:rPr>
          <w:rFonts w:ascii="宋体" w:hAnsi="宋体"/>
          <w:color w:val="auto"/>
          <w:szCs w:val="21"/>
          <w:highlight w:val="none"/>
        </w:rPr>
        <w:t>投标人递交两份或多份内容不同</w:t>
      </w:r>
      <w:r>
        <w:rPr>
          <w:rFonts w:hint="eastAsia" w:ascii="宋体" w:hAnsi="宋体"/>
          <w:color w:val="auto"/>
          <w:szCs w:val="21"/>
          <w:highlight w:val="none"/>
        </w:rPr>
        <w:t>投标方案（</w:t>
      </w:r>
      <w:r>
        <w:rPr>
          <w:rFonts w:ascii="宋体" w:hAnsi="宋体"/>
          <w:color w:val="auto"/>
          <w:szCs w:val="21"/>
          <w:highlight w:val="none"/>
        </w:rPr>
        <w:t>招标文件规定提交备选投标方案的除外</w:t>
      </w:r>
      <w:r>
        <w:rPr>
          <w:rFonts w:hint="eastAsia" w:ascii="宋体" w:hAnsi="宋体"/>
          <w:color w:val="auto"/>
          <w:szCs w:val="21"/>
          <w:highlight w:val="none"/>
        </w:rPr>
        <w:t>）</w:t>
      </w:r>
      <w:r>
        <w:rPr>
          <w:rFonts w:ascii="宋体" w:hAnsi="宋体"/>
          <w:color w:val="auto"/>
          <w:szCs w:val="21"/>
          <w:highlight w:val="none"/>
        </w:rPr>
        <w:t>；</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2.16  投标文件只对</w:t>
      </w:r>
      <w:r>
        <w:rPr>
          <w:rFonts w:ascii="宋体" w:hAnsi="宋体"/>
          <w:color w:val="auto"/>
          <w:szCs w:val="21"/>
          <w:highlight w:val="none"/>
        </w:rPr>
        <w:t>同一</w:t>
      </w:r>
      <w:r>
        <w:rPr>
          <w:rFonts w:hint="eastAsia" w:ascii="宋体" w:hAnsi="宋体"/>
          <w:color w:val="auto"/>
          <w:szCs w:val="21"/>
          <w:highlight w:val="none"/>
        </w:rPr>
        <w:t>项目</w:t>
      </w:r>
      <w:r>
        <w:rPr>
          <w:rFonts w:ascii="宋体" w:hAnsi="宋体"/>
          <w:color w:val="auto"/>
          <w:szCs w:val="21"/>
          <w:highlight w:val="none"/>
        </w:rPr>
        <w:t>包中的</w:t>
      </w:r>
      <w:r>
        <w:rPr>
          <w:rFonts w:hint="eastAsia" w:ascii="宋体" w:hAnsi="宋体"/>
          <w:color w:val="auto"/>
          <w:szCs w:val="21"/>
          <w:highlight w:val="none"/>
        </w:rPr>
        <w:t>部分</w:t>
      </w:r>
      <w:r>
        <w:rPr>
          <w:rFonts w:ascii="宋体" w:hAnsi="宋体"/>
          <w:color w:val="auto"/>
          <w:szCs w:val="21"/>
          <w:highlight w:val="none"/>
        </w:rPr>
        <w:t>内容</w:t>
      </w:r>
      <w:r>
        <w:rPr>
          <w:rFonts w:hint="eastAsia" w:ascii="宋体" w:hAnsi="宋体"/>
          <w:color w:val="auto"/>
          <w:szCs w:val="21"/>
          <w:highlight w:val="none"/>
        </w:rPr>
        <w:t>投标，或把</w:t>
      </w:r>
      <w:r>
        <w:rPr>
          <w:rFonts w:ascii="宋体" w:hAnsi="宋体"/>
          <w:color w:val="auto"/>
          <w:szCs w:val="21"/>
          <w:highlight w:val="none"/>
        </w:rPr>
        <w:t>同一</w:t>
      </w:r>
      <w:r>
        <w:rPr>
          <w:rFonts w:hint="eastAsia" w:ascii="宋体" w:hAnsi="宋体"/>
          <w:color w:val="auto"/>
          <w:szCs w:val="21"/>
          <w:highlight w:val="none"/>
        </w:rPr>
        <w:t>项目</w:t>
      </w:r>
      <w:r>
        <w:rPr>
          <w:rFonts w:ascii="宋体" w:hAnsi="宋体"/>
          <w:color w:val="auto"/>
          <w:szCs w:val="21"/>
          <w:highlight w:val="none"/>
        </w:rPr>
        <w:t>包中</w:t>
      </w:r>
      <w:r>
        <w:rPr>
          <w:rFonts w:hint="eastAsia" w:ascii="宋体" w:hAnsi="宋体"/>
          <w:color w:val="auto"/>
          <w:szCs w:val="21"/>
          <w:highlight w:val="none"/>
        </w:rPr>
        <w:t>的内容拆开的投标；</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2.17  评标委员会根据招标文件的规定对投标文件的计算错误进行修正，投标人不接受修正后的投标报价的；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2.18  投标文件符合法律、法规及</w:t>
      </w:r>
      <w:r>
        <w:rPr>
          <w:rFonts w:hint="eastAsia" w:ascii="宋体" w:hAnsi="宋体"/>
          <w:color w:val="auto"/>
          <w:highlight w:val="none"/>
        </w:rPr>
        <w:t>招标文件中规定的其他否决因素的。</w:t>
      </w:r>
    </w:p>
    <w:p>
      <w:pPr>
        <w:spacing w:line="340" w:lineRule="exact"/>
        <w:ind w:firstLine="422" w:firstLineChars="200"/>
        <w:rPr>
          <w:rFonts w:ascii="宋体" w:hAnsi="宋体"/>
          <w:b/>
          <w:bCs/>
          <w:color w:val="auto"/>
          <w:szCs w:val="21"/>
          <w:highlight w:val="none"/>
        </w:rPr>
      </w:pPr>
    </w:p>
    <w:p>
      <w:pPr>
        <w:jc w:val="center"/>
        <w:outlineLvl w:val="1"/>
        <w:rPr>
          <w:rFonts w:ascii="黑体" w:hAnsi="宋体" w:eastAsia="黑体"/>
          <w:bCs/>
          <w:color w:val="auto"/>
          <w:sz w:val="24"/>
          <w:szCs w:val="24"/>
          <w:highlight w:val="none"/>
        </w:rPr>
      </w:pPr>
      <w:bookmarkStart w:id="8" w:name="_Toc353262377"/>
      <w:r>
        <w:rPr>
          <w:rFonts w:hint="eastAsia" w:ascii="黑体" w:hAnsi="宋体" w:eastAsia="黑体"/>
          <w:bCs/>
          <w:color w:val="auto"/>
          <w:sz w:val="24"/>
          <w:szCs w:val="24"/>
          <w:highlight w:val="none"/>
        </w:rPr>
        <w:t>第六节  评标方法及程序</w:t>
      </w:r>
      <w:bookmarkEnd w:id="8"/>
    </w:p>
    <w:p>
      <w:pPr>
        <w:spacing w:line="36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一、本项目评标及定标方法</w:t>
      </w:r>
    </w:p>
    <w:tbl>
      <w:tblPr>
        <w:tblStyle w:val="29"/>
        <w:tblW w:w="90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0"/>
        <w:gridCol w:w="1736"/>
        <w:gridCol w:w="6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blHeader/>
          <w:jc w:val="center"/>
        </w:trPr>
        <w:tc>
          <w:tcPr>
            <w:tcW w:w="770" w:type="dxa"/>
            <w:vAlign w:val="center"/>
          </w:tcPr>
          <w:p>
            <w:pPr>
              <w:jc w:val="center"/>
              <w:rPr>
                <w:rFonts w:ascii="宋体" w:hAnsi="宋体"/>
                <w:b/>
                <w:bCs/>
                <w:color w:val="auto"/>
                <w:szCs w:val="21"/>
                <w:highlight w:val="none"/>
              </w:rPr>
            </w:pPr>
            <w:r>
              <w:rPr>
                <w:rFonts w:hint="eastAsia" w:ascii="宋体" w:hAnsi="宋体"/>
                <w:b/>
                <w:bCs/>
                <w:color w:val="auto"/>
                <w:szCs w:val="21"/>
                <w:highlight w:val="none"/>
              </w:rPr>
              <w:t>序号</w:t>
            </w:r>
          </w:p>
        </w:tc>
        <w:tc>
          <w:tcPr>
            <w:tcW w:w="1736" w:type="dxa"/>
            <w:vAlign w:val="center"/>
          </w:tcPr>
          <w:p>
            <w:pPr>
              <w:jc w:val="center"/>
              <w:rPr>
                <w:rFonts w:ascii="宋体" w:hAnsi="宋体"/>
                <w:b/>
                <w:bCs/>
                <w:color w:val="auto"/>
                <w:szCs w:val="21"/>
                <w:highlight w:val="none"/>
              </w:rPr>
            </w:pPr>
            <w:r>
              <w:rPr>
                <w:rFonts w:hint="eastAsia" w:ascii="宋体" w:hAnsi="宋体"/>
                <w:b/>
                <w:bCs/>
                <w:color w:val="auto"/>
                <w:szCs w:val="21"/>
                <w:highlight w:val="none"/>
              </w:rPr>
              <w:t>项目</w:t>
            </w:r>
          </w:p>
        </w:tc>
        <w:tc>
          <w:tcPr>
            <w:tcW w:w="6534" w:type="dxa"/>
            <w:vAlign w:val="center"/>
          </w:tcPr>
          <w:p>
            <w:pPr>
              <w:jc w:val="center"/>
              <w:rPr>
                <w:rFonts w:ascii="宋体" w:hAnsi="宋体"/>
                <w:b/>
                <w:bCs/>
                <w:color w:val="auto"/>
                <w:szCs w:val="21"/>
                <w:highlight w:val="none"/>
              </w:rPr>
            </w:pPr>
            <w:r>
              <w:rPr>
                <w:rFonts w:hint="eastAsia" w:ascii="宋体" w:hAnsi="宋体"/>
                <w:b/>
                <w:bCs/>
                <w:color w:val="auto"/>
                <w:szCs w:val="21"/>
                <w:highlight w:val="none"/>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0" w:type="dxa"/>
            <w:vAlign w:val="center"/>
          </w:tcPr>
          <w:p>
            <w:pPr>
              <w:jc w:val="center"/>
              <w:rPr>
                <w:rFonts w:ascii="宋体" w:hAnsi="宋体"/>
                <w:bCs/>
                <w:color w:val="auto"/>
                <w:szCs w:val="21"/>
                <w:highlight w:val="none"/>
              </w:rPr>
            </w:pPr>
            <w:r>
              <w:rPr>
                <w:rFonts w:hint="eastAsia" w:ascii="宋体" w:hAnsi="宋体"/>
                <w:bCs/>
                <w:color w:val="auto"/>
                <w:szCs w:val="21"/>
                <w:highlight w:val="none"/>
              </w:rPr>
              <w:t>1</w:t>
            </w:r>
          </w:p>
        </w:tc>
        <w:tc>
          <w:tcPr>
            <w:tcW w:w="1736" w:type="dxa"/>
            <w:vAlign w:val="center"/>
          </w:tcPr>
          <w:p>
            <w:pPr>
              <w:rPr>
                <w:rFonts w:ascii="宋体" w:hAnsi="宋体"/>
                <w:bCs/>
                <w:color w:val="auto"/>
                <w:szCs w:val="21"/>
                <w:highlight w:val="none"/>
              </w:rPr>
            </w:pPr>
            <w:r>
              <w:rPr>
                <w:rFonts w:hint="eastAsia" w:ascii="宋体" w:hAnsi="宋体"/>
                <w:bCs/>
                <w:color w:val="auto"/>
                <w:szCs w:val="21"/>
                <w:highlight w:val="none"/>
              </w:rPr>
              <w:t>定标方式</w:t>
            </w:r>
          </w:p>
        </w:tc>
        <w:tc>
          <w:tcPr>
            <w:tcW w:w="6534" w:type="dxa"/>
            <w:vAlign w:val="center"/>
          </w:tcPr>
          <w:p>
            <w:pPr>
              <w:rPr>
                <w:rFonts w:ascii="宋体" w:hAnsi="宋体"/>
                <w:b/>
                <w:bCs/>
                <w:color w:val="auto"/>
                <w:szCs w:val="21"/>
                <w:highlight w:val="none"/>
              </w:rPr>
            </w:pPr>
            <w:r>
              <w:rPr>
                <w:rFonts w:hint="eastAsia" w:ascii="MS Mincho" w:hAnsi="MS Mincho" w:cs="MS Mincho"/>
                <w:snapToGrid w:val="0"/>
                <w:color w:val="auto"/>
                <w:kern w:val="0"/>
                <w:szCs w:val="21"/>
                <w:highlight w:val="none"/>
              </w:rPr>
              <w:t xml:space="preserve">■ </w:t>
            </w:r>
            <w:r>
              <w:rPr>
                <w:rFonts w:hint="eastAsia" w:ascii="宋体" w:hAnsi="宋体"/>
                <w:color w:val="auto"/>
                <w:szCs w:val="21"/>
                <w:highlight w:val="none"/>
              </w:rPr>
              <w:t xml:space="preserve">授权评标委员会确定中标单位   </w:t>
            </w:r>
            <w:r>
              <w:rPr>
                <w:rFonts w:hint="eastAsia" w:ascii="宋体" w:hAnsi="宋体"/>
                <w:snapToGrid w:val="0"/>
                <w:color w:val="auto"/>
                <w:kern w:val="0"/>
                <w:szCs w:val="21"/>
                <w:highlight w:val="none"/>
              </w:rPr>
              <w:t xml:space="preserve">□ </w:t>
            </w:r>
            <w:r>
              <w:rPr>
                <w:rFonts w:hint="eastAsia"/>
                <w:color w:val="auto"/>
                <w:highlight w:val="none"/>
              </w:rPr>
              <w:t>评标和定标分离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0" w:type="dxa"/>
            <w:vAlign w:val="center"/>
          </w:tcPr>
          <w:p>
            <w:pPr>
              <w:jc w:val="center"/>
              <w:rPr>
                <w:rFonts w:ascii="宋体" w:hAnsi="宋体"/>
                <w:bCs/>
                <w:color w:val="auto"/>
                <w:szCs w:val="21"/>
                <w:highlight w:val="none"/>
              </w:rPr>
            </w:pPr>
            <w:r>
              <w:rPr>
                <w:rFonts w:hint="eastAsia" w:ascii="宋体" w:hAnsi="宋体"/>
                <w:bCs/>
                <w:color w:val="auto"/>
                <w:szCs w:val="21"/>
                <w:highlight w:val="none"/>
              </w:rPr>
              <w:t>2</w:t>
            </w:r>
          </w:p>
        </w:tc>
        <w:tc>
          <w:tcPr>
            <w:tcW w:w="1736" w:type="dxa"/>
            <w:vAlign w:val="center"/>
          </w:tcPr>
          <w:p>
            <w:pPr>
              <w:rPr>
                <w:rFonts w:ascii="宋体" w:hAnsi="宋体"/>
                <w:bCs/>
                <w:color w:val="auto"/>
                <w:szCs w:val="21"/>
                <w:highlight w:val="none"/>
              </w:rPr>
            </w:pPr>
            <w:r>
              <w:rPr>
                <w:rFonts w:hint="eastAsia" w:ascii="宋体" w:hAnsi="宋体"/>
                <w:bCs/>
                <w:color w:val="auto"/>
                <w:szCs w:val="21"/>
                <w:highlight w:val="none"/>
              </w:rPr>
              <w:t>评标方法</w:t>
            </w:r>
          </w:p>
        </w:tc>
        <w:tc>
          <w:tcPr>
            <w:tcW w:w="6534" w:type="dxa"/>
            <w:vAlign w:val="center"/>
          </w:tcPr>
          <w:p>
            <w:pPr>
              <w:rPr>
                <w:rFonts w:ascii="宋体" w:hAnsi="宋体"/>
                <w:b/>
                <w:bCs/>
                <w:color w:val="auto"/>
                <w:szCs w:val="21"/>
                <w:highlight w:val="none"/>
              </w:rPr>
            </w:pPr>
            <w:r>
              <w:rPr>
                <w:rFonts w:hint="eastAsia" w:ascii="MS Mincho" w:hAnsi="MS Mincho" w:cs="MS Mincho"/>
                <w:snapToGrid w:val="0"/>
                <w:color w:val="auto"/>
                <w:kern w:val="0"/>
                <w:szCs w:val="21"/>
                <w:highlight w:val="none"/>
              </w:rPr>
              <w:t xml:space="preserve">■ </w:t>
            </w:r>
            <w:r>
              <w:rPr>
                <w:rFonts w:hint="eastAsia" w:ascii="宋体" w:hAnsi="宋体"/>
                <w:color w:val="auto"/>
                <w:szCs w:val="21"/>
                <w:highlight w:val="none"/>
              </w:rPr>
              <w:t xml:space="preserve">综合评分法    </w:t>
            </w:r>
            <w:r>
              <w:rPr>
                <w:rFonts w:hint="eastAsia" w:ascii="宋体" w:hAnsi="宋体"/>
                <w:snapToGrid w:val="0"/>
                <w:color w:val="auto"/>
                <w:kern w:val="0"/>
                <w:szCs w:val="21"/>
                <w:highlight w:val="none"/>
              </w:rPr>
              <w:t xml:space="preserve">□ </w:t>
            </w:r>
            <w:r>
              <w:rPr>
                <w:rFonts w:hint="eastAsia" w:ascii="Calibri" w:hAnsi="Calibri"/>
                <w:color w:val="auto"/>
                <w:szCs w:val="21"/>
                <w:highlight w:val="none"/>
              </w:rPr>
              <w:t>最低价法</w:t>
            </w:r>
            <w:r>
              <w:rPr>
                <w:rFonts w:ascii="Calibri" w:hAnsi="Calibri"/>
                <w:color w:val="auto"/>
                <w:szCs w:val="21"/>
                <w:highlight w:val="none"/>
              </w:rPr>
              <w:t xml:space="preserve">  </w:t>
            </w:r>
            <w:r>
              <w:rPr>
                <w:rFonts w:hint="eastAsia" w:ascii="Calibri" w:hAnsi="Calibri"/>
                <w:color w:val="auto"/>
                <w:szCs w:val="21"/>
                <w:highlight w:val="none"/>
              </w:rPr>
              <w:t xml:space="preserve">  </w:t>
            </w:r>
            <w:r>
              <w:rPr>
                <w:rFonts w:hint="eastAsia" w:ascii="宋体" w:hAnsi="宋体"/>
                <w:snapToGrid w:val="0"/>
                <w:color w:val="auto"/>
                <w:kern w:val="0"/>
                <w:szCs w:val="21"/>
                <w:highlight w:val="none"/>
              </w:rPr>
              <w:t xml:space="preserve">□ </w:t>
            </w:r>
            <w:r>
              <w:rPr>
                <w:rFonts w:hint="eastAsia" w:ascii="宋体" w:hAnsi="宋体"/>
                <w:color w:val="auto"/>
                <w:szCs w:val="21"/>
                <w:highlight w:val="none"/>
              </w:rPr>
              <w:t>定性评审法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0" w:type="dxa"/>
            <w:vAlign w:val="center"/>
          </w:tcPr>
          <w:p>
            <w:pPr>
              <w:jc w:val="center"/>
              <w:rPr>
                <w:rFonts w:ascii="宋体" w:hAnsi="宋体"/>
                <w:bCs/>
                <w:color w:val="auto"/>
                <w:szCs w:val="21"/>
                <w:highlight w:val="none"/>
              </w:rPr>
            </w:pPr>
            <w:r>
              <w:rPr>
                <w:rFonts w:hint="eastAsia" w:ascii="宋体" w:hAnsi="宋体"/>
                <w:bCs/>
                <w:color w:val="auto"/>
                <w:szCs w:val="21"/>
                <w:highlight w:val="none"/>
              </w:rPr>
              <w:t>3</w:t>
            </w:r>
          </w:p>
        </w:tc>
        <w:tc>
          <w:tcPr>
            <w:tcW w:w="1736" w:type="dxa"/>
            <w:vAlign w:val="center"/>
          </w:tcPr>
          <w:p>
            <w:pPr>
              <w:rPr>
                <w:rFonts w:ascii="宋体" w:hAnsi="宋体"/>
                <w:bCs/>
                <w:color w:val="auto"/>
                <w:szCs w:val="21"/>
                <w:highlight w:val="none"/>
              </w:rPr>
            </w:pPr>
            <w:r>
              <w:rPr>
                <w:rFonts w:hint="eastAsia" w:ascii="宋体" w:hAnsi="宋体"/>
                <w:bCs/>
                <w:color w:val="auto"/>
                <w:szCs w:val="21"/>
                <w:highlight w:val="none"/>
              </w:rPr>
              <w:t>定标方法</w:t>
            </w:r>
          </w:p>
        </w:tc>
        <w:tc>
          <w:tcPr>
            <w:tcW w:w="6534" w:type="dxa"/>
            <w:vAlign w:val="center"/>
          </w:tcPr>
          <w:p>
            <w:pPr>
              <w:rPr>
                <w:rFonts w:ascii="宋体" w:hAnsi="宋体"/>
                <w:bCs/>
                <w:color w:val="auto"/>
                <w:szCs w:val="21"/>
                <w:highlight w:val="none"/>
              </w:rPr>
            </w:pPr>
            <w:r>
              <w:rPr>
                <w:rFonts w:hint="eastAsia" w:ascii="宋体" w:hAnsi="宋体"/>
                <w:snapToGrid w:val="0"/>
                <w:color w:val="auto"/>
                <w:kern w:val="0"/>
                <w:szCs w:val="21"/>
                <w:highlight w:val="none"/>
              </w:rPr>
              <w:t xml:space="preserve">□ </w:t>
            </w:r>
            <w:r>
              <w:rPr>
                <w:rFonts w:hint="eastAsia" w:ascii="宋体" w:hAnsi="宋体"/>
                <w:bCs/>
                <w:color w:val="auto"/>
                <w:szCs w:val="21"/>
                <w:highlight w:val="none"/>
              </w:rPr>
              <w:t xml:space="preserve">自定法        </w:t>
            </w:r>
            <w:r>
              <w:rPr>
                <w:rFonts w:hint="eastAsia" w:ascii="宋体" w:hAnsi="宋体"/>
                <w:snapToGrid w:val="0"/>
                <w:color w:val="auto"/>
                <w:kern w:val="0"/>
                <w:szCs w:val="21"/>
                <w:highlight w:val="none"/>
              </w:rPr>
              <w:t xml:space="preserve">□ </w:t>
            </w:r>
            <w:r>
              <w:rPr>
                <w:rFonts w:hint="eastAsia" w:ascii="宋体" w:hAnsi="宋体"/>
                <w:bCs/>
                <w:color w:val="auto"/>
                <w:szCs w:val="21"/>
                <w:highlight w:val="none"/>
              </w:rPr>
              <w:t xml:space="preserve">抽签法      </w:t>
            </w:r>
            <w:r>
              <w:rPr>
                <w:rFonts w:hint="eastAsia" w:ascii="宋体" w:hAnsi="宋体"/>
                <w:snapToGrid w:val="0"/>
                <w:color w:val="auto"/>
                <w:kern w:val="0"/>
                <w:szCs w:val="21"/>
                <w:highlight w:val="none"/>
              </w:rPr>
              <w:t xml:space="preserve">□ </w:t>
            </w:r>
            <w:r>
              <w:rPr>
                <w:rFonts w:hint="eastAsia" w:ascii="宋体" w:hAnsi="宋体"/>
                <w:bCs/>
                <w:color w:val="auto"/>
                <w:szCs w:val="21"/>
                <w:highlight w:val="none"/>
              </w:rPr>
              <w:t>竞价法</w:t>
            </w:r>
          </w:p>
          <w:p>
            <w:pPr>
              <w:rPr>
                <w:rFonts w:ascii="宋体" w:hAnsi="宋体"/>
                <w:b/>
                <w:bCs/>
                <w:color w:val="auto"/>
                <w:szCs w:val="21"/>
                <w:highlight w:val="none"/>
              </w:rPr>
            </w:pPr>
            <w:r>
              <w:rPr>
                <w:rFonts w:hint="eastAsia" w:ascii="宋体" w:hAnsi="宋体"/>
                <w:b/>
                <w:bCs/>
                <w:color w:val="auto"/>
                <w:szCs w:val="21"/>
                <w:highlight w:val="none"/>
              </w:rPr>
              <w:t>注：</w:t>
            </w:r>
            <w:r>
              <w:rPr>
                <w:rFonts w:hint="eastAsia" w:ascii="宋体" w:hAnsi="宋体"/>
                <w:bCs/>
                <w:color w:val="auto"/>
                <w:szCs w:val="21"/>
                <w:highlight w:val="none"/>
              </w:rPr>
              <w:t>本选项仅在定标方式选择“</w:t>
            </w:r>
            <w:r>
              <w:rPr>
                <w:rFonts w:hint="eastAsia"/>
                <w:color w:val="auto"/>
                <w:highlight w:val="none"/>
              </w:rPr>
              <w:t>评标和定标分离</w:t>
            </w:r>
            <w:r>
              <w:rPr>
                <w:rFonts w:hint="eastAsia" w:ascii="宋体" w:hAnsi="宋体"/>
                <w:bCs/>
                <w:color w:val="auto"/>
                <w:szCs w:val="21"/>
                <w:highlight w:val="none"/>
              </w:rPr>
              <w:t>”时适用。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0" w:type="dxa"/>
            <w:vAlign w:val="center"/>
          </w:tcPr>
          <w:p>
            <w:pPr>
              <w:jc w:val="center"/>
              <w:rPr>
                <w:rFonts w:ascii="宋体" w:hAnsi="宋体"/>
                <w:bCs/>
                <w:color w:val="auto"/>
                <w:szCs w:val="21"/>
                <w:highlight w:val="none"/>
              </w:rPr>
            </w:pPr>
            <w:r>
              <w:rPr>
                <w:rFonts w:hint="eastAsia" w:ascii="宋体" w:hAnsi="宋体"/>
                <w:bCs/>
                <w:color w:val="auto"/>
                <w:szCs w:val="21"/>
                <w:highlight w:val="none"/>
              </w:rPr>
              <w:t>4</w:t>
            </w:r>
          </w:p>
        </w:tc>
        <w:tc>
          <w:tcPr>
            <w:tcW w:w="1736" w:type="dxa"/>
            <w:vAlign w:val="center"/>
          </w:tcPr>
          <w:p>
            <w:pPr>
              <w:rPr>
                <w:rFonts w:ascii="宋体" w:hAnsi="宋体"/>
                <w:bCs/>
                <w:color w:val="auto"/>
                <w:szCs w:val="21"/>
                <w:highlight w:val="none"/>
              </w:rPr>
            </w:pPr>
            <w:r>
              <w:rPr>
                <w:rFonts w:hint="eastAsia" w:ascii="宋体" w:hAnsi="宋体"/>
                <w:bCs/>
                <w:color w:val="auto"/>
                <w:szCs w:val="21"/>
                <w:highlight w:val="none"/>
              </w:rPr>
              <w:t>价格评审优惠政策</w:t>
            </w:r>
          </w:p>
        </w:tc>
        <w:tc>
          <w:tcPr>
            <w:tcW w:w="6534" w:type="dxa"/>
            <w:vAlign w:val="center"/>
          </w:tcPr>
          <w:p>
            <w:pPr>
              <w:rPr>
                <w:rFonts w:ascii="宋体" w:hAnsi="宋体"/>
                <w:b/>
                <w:bCs/>
                <w:color w:val="auto"/>
                <w:szCs w:val="21"/>
                <w:highlight w:val="none"/>
              </w:rPr>
            </w:pPr>
            <w:r>
              <w:rPr>
                <w:rFonts w:hint="eastAsia" w:ascii="宋体" w:hAnsi="宋体"/>
                <w:color w:val="auto"/>
                <w:highlight w:val="none"/>
              </w:rPr>
              <w:t>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w:t>
            </w:r>
            <w:r>
              <w:rPr>
                <w:rFonts w:hint="eastAsia" w:ascii="宋体" w:hAnsi="宋体"/>
                <w:color w:val="auto"/>
                <w:szCs w:val="21"/>
                <w:highlight w:val="none"/>
              </w:rPr>
              <w:t>中小企业声明函</w:t>
            </w:r>
            <w:r>
              <w:rPr>
                <w:rFonts w:hint="eastAsia" w:ascii="宋体" w:hAnsi="宋体"/>
                <w:color w:val="auto"/>
                <w:highlight w:val="none"/>
              </w:rPr>
              <w:t>》、《残疾人福利性单位声明函》或省级以上监狱管理局、戒毒管理局（含新疆生产建设兵团）出具的属于监狱企业的证明文件的投标人，其投标报价扣除6%后参与评审（如接受联合体投标且联合体协议中明确约定小微企业的协议合同金额占到联合体协议总金额30%以上的，价格扣除比例为2%，联合体各方均为小微企业的，价格扣除比例为6%）。对于同时属于小微企业、监狱企业或残疾人福利性单位的，不重复进行投标报价扣除。</w:t>
            </w:r>
            <w:r>
              <w:rPr>
                <w:rFonts w:hint="eastAsia" w:ascii="宋体" w:hAnsi="宋体"/>
                <w:color w:val="auto"/>
                <w:szCs w:val="21"/>
                <w:highlight w:val="none"/>
              </w:rPr>
              <w:t>（本条所涉企业均指国内企业）</w:t>
            </w:r>
          </w:p>
        </w:tc>
      </w:tr>
    </w:tbl>
    <w:p>
      <w:pPr>
        <w:spacing w:line="36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备注：</w:t>
      </w:r>
      <w:r>
        <w:rPr>
          <w:rFonts w:hint="eastAsia" w:ascii="宋体" w:hAnsi="宋体"/>
          <w:snapToGrid w:val="0"/>
          <w:color w:val="auto"/>
          <w:kern w:val="0"/>
          <w:szCs w:val="21"/>
          <w:highlight w:val="none"/>
        </w:rPr>
        <w:t>用“</w:t>
      </w:r>
      <w:r>
        <w:rPr>
          <w:rFonts w:hint="eastAsia" w:ascii="MS Mincho" w:hAnsi="MS Mincho" w:cs="MS Mincho"/>
          <w:snapToGrid w:val="0"/>
          <w:color w:val="auto"/>
          <w:kern w:val="0"/>
          <w:szCs w:val="21"/>
          <w:highlight w:val="none"/>
        </w:rPr>
        <w:t>■</w:t>
      </w:r>
      <w:r>
        <w:rPr>
          <w:rFonts w:hint="eastAsia" w:ascii="宋体" w:hAnsi="宋体"/>
          <w:snapToGrid w:val="0"/>
          <w:color w:val="auto"/>
          <w:kern w:val="0"/>
          <w:szCs w:val="21"/>
          <w:highlight w:val="none"/>
        </w:rPr>
        <w:t>”标识时表明该选项被采购人选用，用“□”标识时表明该选项未被采购人选用。</w:t>
      </w:r>
    </w:p>
    <w:p>
      <w:pPr>
        <w:spacing w:line="36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二、本项目评标信息</w:t>
      </w:r>
    </w:p>
    <w:p>
      <w:pPr>
        <w:spacing w:line="3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1、</w:t>
      </w:r>
      <w:r>
        <w:rPr>
          <w:rFonts w:ascii="宋体" w:hAnsi="宋体"/>
          <w:b/>
          <w:bCs/>
          <w:color w:val="auto"/>
          <w:szCs w:val="21"/>
          <w:highlight w:val="none"/>
        </w:rPr>
        <w:t>符合性检查表</w:t>
      </w:r>
    </w:p>
    <w:tbl>
      <w:tblPr>
        <w:tblStyle w:val="29"/>
        <w:tblW w:w="89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5928"/>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4" w:type="dxa"/>
            <w:vAlign w:val="center"/>
          </w:tcPr>
          <w:p>
            <w:pPr>
              <w:jc w:val="center"/>
              <w:rPr>
                <w:rFonts w:ascii="宋体" w:hAnsi="宋体"/>
                <w:b/>
                <w:color w:val="auto"/>
                <w:highlight w:val="none"/>
              </w:rPr>
            </w:pPr>
            <w:r>
              <w:rPr>
                <w:rFonts w:ascii="宋体" w:hAnsi="宋体"/>
                <w:b/>
                <w:color w:val="auto"/>
                <w:highlight w:val="none"/>
              </w:rPr>
              <w:t>序号</w:t>
            </w:r>
          </w:p>
        </w:tc>
        <w:tc>
          <w:tcPr>
            <w:tcW w:w="5928" w:type="dxa"/>
            <w:vAlign w:val="center"/>
          </w:tcPr>
          <w:p>
            <w:pPr>
              <w:ind w:left="-828" w:firstLine="828"/>
              <w:jc w:val="center"/>
              <w:rPr>
                <w:rFonts w:ascii="宋体" w:hAnsi="宋体"/>
                <w:b/>
                <w:color w:val="auto"/>
                <w:sz w:val="24"/>
                <w:highlight w:val="none"/>
              </w:rPr>
            </w:pPr>
            <w:r>
              <w:rPr>
                <w:rFonts w:ascii="宋体" w:hAnsi="宋体"/>
                <w:b/>
                <w:color w:val="auto"/>
                <w:highlight w:val="none"/>
              </w:rPr>
              <w:t>评议内容</w:t>
            </w:r>
          </w:p>
        </w:tc>
        <w:tc>
          <w:tcPr>
            <w:tcW w:w="1875" w:type="dxa"/>
            <w:vAlign w:val="center"/>
          </w:tcPr>
          <w:p>
            <w:pPr>
              <w:ind w:left="44" w:hanging="44"/>
              <w:jc w:val="center"/>
              <w:rPr>
                <w:rFonts w:ascii="宋体" w:hAnsi="宋体"/>
                <w:b/>
                <w:color w:val="auto"/>
                <w:sz w:val="24"/>
                <w:highlight w:val="none"/>
              </w:rPr>
            </w:pPr>
            <w:r>
              <w:rPr>
                <w:rFonts w:ascii="宋体" w:hAnsi="宋体"/>
                <w:b/>
                <w:color w:val="auto"/>
                <w:highlight w:val="none"/>
              </w:rPr>
              <w:t>评议结果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4" w:type="dxa"/>
            <w:vAlign w:val="center"/>
          </w:tcPr>
          <w:p>
            <w:pPr>
              <w:ind w:left="57"/>
              <w:jc w:val="center"/>
              <w:rPr>
                <w:rFonts w:ascii="宋体" w:hAnsi="宋体"/>
                <w:color w:val="auto"/>
                <w:highlight w:val="none"/>
              </w:rPr>
            </w:pPr>
            <w:r>
              <w:rPr>
                <w:rFonts w:hint="eastAsia" w:ascii="宋体" w:hAnsi="宋体"/>
                <w:color w:val="auto"/>
                <w:highlight w:val="none"/>
              </w:rPr>
              <w:t>1</w:t>
            </w:r>
          </w:p>
        </w:tc>
        <w:tc>
          <w:tcPr>
            <w:tcW w:w="5928" w:type="dxa"/>
            <w:vAlign w:val="center"/>
          </w:tcPr>
          <w:p>
            <w:pPr>
              <w:rPr>
                <w:rFonts w:ascii="宋体" w:hAnsi="宋体"/>
                <w:color w:val="auto"/>
                <w:sz w:val="24"/>
                <w:highlight w:val="none"/>
              </w:rPr>
            </w:pPr>
            <w:r>
              <w:rPr>
                <w:rFonts w:hint="eastAsia" w:hAnsi="宋体"/>
                <w:color w:val="auto"/>
                <w:szCs w:val="21"/>
                <w:highlight w:val="none"/>
              </w:rPr>
              <w:t>按照招标文件的格式详细填写“投标函”</w:t>
            </w:r>
          </w:p>
        </w:tc>
        <w:tc>
          <w:tcPr>
            <w:tcW w:w="1875" w:type="dxa"/>
            <w:vAlign w:val="center"/>
          </w:tcPr>
          <w:p>
            <w:pPr>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4" w:type="dxa"/>
            <w:vAlign w:val="center"/>
          </w:tcPr>
          <w:p>
            <w:pPr>
              <w:ind w:left="57"/>
              <w:jc w:val="center"/>
              <w:rPr>
                <w:rFonts w:ascii="宋体" w:hAnsi="宋体"/>
                <w:color w:val="auto"/>
                <w:highlight w:val="none"/>
              </w:rPr>
            </w:pPr>
            <w:r>
              <w:rPr>
                <w:rFonts w:hint="eastAsia" w:ascii="宋体" w:hAnsi="宋体"/>
                <w:color w:val="auto"/>
                <w:highlight w:val="none"/>
              </w:rPr>
              <w:t>2</w:t>
            </w:r>
          </w:p>
        </w:tc>
        <w:tc>
          <w:tcPr>
            <w:tcW w:w="5928" w:type="dxa"/>
            <w:vAlign w:val="center"/>
          </w:tcPr>
          <w:p>
            <w:pPr>
              <w:rPr>
                <w:rFonts w:ascii="宋体" w:hAnsi="宋体"/>
                <w:color w:val="auto"/>
                <w:highlight w:val="none"/>
              </w:rPr>
            </w:pPr>
            <w:r>
              <w:rPr>
                <w:rFonts w:hint="eastAsia" w:hAnsi="宋体"/>
                <w:color w:val="auto"/>
                <w:szCs w:val="21"/>
                <w:highlight w:val="none"/>
              </w:rPr>
              <w:t>按照招标文件的格式详细填写“</w:t>
            </w:r>
            <w:r>
              <w:rPr>
                <w:rFonts w:hint="eastAsia" w:ascii="宋体" w:hAnsi="宋体"/>
                <w:color w:val="auto"/>
                <w:highlight w:val="none"/>
              </w:rPr>
              <w:t>政府采购投标及履约承诺函</w:t>
            </w:r>
            <w:r>
              <w:rPr>
                <w:rFonts w:hint="eastAsia" w:hAnsi="宋体"/>
                <w:color w:val="auto"/>
                <w:szCs w:val="21"/>
                <w:highlight w:val="none"/>
              </w:rPr>
              <w:t>”</w:t>
            </w:r>
          </w:p>
        </w:tc>
        <w:tc>
          <w:tcPr>
            <w:tcW w:w="1875" w:type="dxa"/>
            <w:vAlign w:val="center"/>
          </w:tcPr>
          <w:p>
            <w:pPr>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4" w:type="dxa"/>
            <w:vAlign w:val="center"/>
          </w:tcPr>
          <w:p>
            <w:pPr>
              <w:ind w:left="57"/>
              <w:jc w:val="center"/>
              <w:rPr>
                <w:rFonts w:ascii="宋体" w:hAnsi="宋体"/>
                <w:color w:val="auto"/>
                <w:highlight w:val="none"/>
              </w:rPr>
            </w:pPr>
            <w:r>
              <w:rPr>
                <w:rFonts w:hint="eastAsia" w:ascii="宋体" w:hAnsi="宋体"/>
                <w:color w:val="auto"/>
                <w:highlight w:val="none"/>
              </w:rPr>
              <w:t>3</w:t>
            </w:r>
          </w:p>
        </w:tc>
        <w:tc>
          <w:tcPr>
            <w:tcW w:w="5928" w:type="dxa"/>
            <w:vAlign w:val="center"/>
          </w:tcPr>
          <w:p>
            <w:pPr>
              <w:rPr>
                <w:rFonts w:ascii="宋体" w:hAnsi="宋体"/>
                <w:color w:val="auto"/>
                <w:highlight w:val="none"/>
              </w:rPr>
            </w:pPr>
            <w:r>
              <w:rPr>
                <w:rFonts w:hint="eastAsia" w:ascii="宋体" w:hAnsi="宋体"/>
                <w:color w:val="auto"/>
                <w:highlight w:val="none"/>
              </w:rPr>
              <w:t>开标一览表未出现无报价、报价为零或有选择性报价的</w:t>
            </w:r>
          </w:p>
        </w:tc>
        <w:tc>
          <w:tcPr>
            <w:tcW w:w="1875" w:type="dxa"/>
            <w:vAlign w:val="center"/>
          </w:tcPr>
          <w:p>
            <w:pPr>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4" w:type="dxa"/>
            <w:vAlign w:val="center"/>
          </w:tcPr>
          <w:p>
            <w:pPr>
              <w:ind w:left="57"/>
              <w:jc w:val="center"/>
              <w:rPr>
                <w:rFonts w:ascii="宋体" w:hAnsi="宋体"/>
                <w:color w:val="auto"/>
                <w:highlight w:val="none"/>
              </w:rPr>
            </w:pPr>
            <w:r>
              <w:rPr>
                <w:rFonts w:hint="eastAsia" w:ascii="宋体" w:hAnsi="宋体"/>
                <w:color w:val="auto"/>
                <w:highlight w:val="none"/>
              </w:rPr>
              <w:t>4</w:t>
            </w:r>
          </w:p>
        </w:tc>
        <w:tc>
          <w:tcPr>
            <w:tcW w:w="5928" w:type="dxa"/>
            <w:vAlign w:val="center"/>
          </w:tcPr>
          <w:p>
            <w:pPr>
              <w:rPr>
                <w:rFonts w:ascii="宋体" w:hAnsi="宋体"/>
                <w:color w:val="auto"/>
                <w:highlight w:val="none"/>
              </w:rPr>
            </w:pPr>
            <w:r>
              <w:rPr>
                <w:rFonts w:hint="eastAsia" w:ascii="宋体" w:hAnsi="宋体"/>
                <w:color w:val="auto"/>
                <w:highlight w:val="none"/>
              </w:rPr>
              <w:t>投标总价</w:t>
            </w:r>
            <w:r>
              <w:rPr>
                <w:rFonts w:hint="eastAsia" w:ascii="宋体" w:hAnsi="宋体"/>
                <w:color w:val="auto"/>
                <w:szCs w:val="21"/>
                <w:highlight w:val="none"/>
              </w:rPr>
              <w:t>或分项报价</w:t>
            </w:r>
            <w:r>
              <w:rPr>
                <w:rFonts w:hint="eastAsia" w:ascii="宋体" w:hAnsi="宋体"/>
                <w:color w:val="auto"/>
                <w:highlight w:val="none"/>
              </w:rPr>
              <w:t>未超过预算控制金额</w:t>
            </w:r>
          </w:p>
        </w:tc>
        <w:tc>
          <w:tcPr>
            <w:tcW w:w="1875" w:type="dxa"/>
            <w:vAlign w:val="center"/>
          </w:tcPr>
          <w:p>
            <w:pPr>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4" w:type="dxa"/>
            <w:vAlign w:val="center"/>
          </w:tcPr>
          <w:p>
            <w:pPr>
              <w:ind w:left="57"/>
              <w:jc w:val="center"/>
              <w:rPr>
                <w:rFonts w:ascii="宋体" w:hAnsi="宋体"/>
                <w:color w:val="auto"/>
                <w:highlight w:val="none"/>
              </w:rPr>
            </w:pPr>
            <w:r>
              <w:rPr>
                <w:rFonts w:hint="eastAsia" w:ascii="宋体" w:hAnsi="宋体"/>
                <w:color w:val="auto"/>
                <w:highlight w:val="none"/>
              </w:rPr>
              <w:t>5</w:t>
            </w:r>
          </w:p>
        </w:tc>
        <w:tc>
          <w:tcPr>
            <w:tcW w:w="5928" w:type="dxa"/>
            <w:vAlign w:val="center"/>
          </w:tcPr>
          <w:p>
            <w:pPr>
              <w:rPr>
                <w:rFonts w:ascii="宋体" w:hAnsi="宋体"/>
                <w:color w:val="auto"/>
                <w:highlight w:val="none"/>
              </w:rPr>
            </w:pPr>
            <w:r>
              <w:rPr>
                <w:color w:val="auto"/>
                <w:szCs w:val="21"/>
                <w:highlight w:val="none"/>
              </w:rPr>
              <w:t>实质性满足招标文件要求</w:t>
            </w:r>
            <w:r>
              <w:rPr>
                <w:rFonts w:hint="eastAsia"/>
                <w:color w:val="auto"/>
                <w:szCs w:val="21"/>
                <w:highlight w:val="none"/>
              </w:rPr>
              <w:t>和条件</w:t>
            </w:r>
            <w:r>
              <w:rPr>
                <w:color w:val="auto"/>
                <w:szCs w:val="21"/>
                <w:highlight w:val="none"/>
              </w:rPr>
              <w:t>（</w:t>
            </w:r>
            <w:r>
              <w:rPr>
                <w:rFonts w:hint="eastAsia" w:ascii="宋体" w:hAnsi="宋体"/>
                <w:color w:val="auto"/>
                <w:highlight w:val="none"/>
              </w:rPr>
              <w:t>不可偏离项检查</w:t>
            </w:r>
            <w:r>
              <w:rPr>
                <w:color w:val="auto"/>
                <w:szCs w:val="21"/>
                <w:highlight w:val="none"/>
              </w:rPr>
              <w:t>）</w:t>
            </w:r>
          </w:p>
        </w:tc>
        <w:tc>
          <w:tcPr>
            <w:tcW w:w="1875" w:type="dxa"/>
            <w:vAlign w:val="center"/>
          </w:tcPr>
          <w:p>
            <w:pPr>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4" w:type="dxa"/>
            <w:vAlign w:val="center"/>
          </w:tcPr>
          <w:p>
            <w:pPr>
              <w:ind w:left="57"/>
              <w:jc w:val="center"/>
              <w:rPr>
                <w:rFonts w:ascii="宋体" w:hAnsi="宋体"/>
                <w:color w:val="auto"/>
                <w:highlight w:val="none"/>
              </w:rPr>
            </w:pPr>
            <w:r>
              <w:rPr>
                <w:rFonts w:hint="eastAsia" w:ascii="宋体" w:hAnsi="宋体"/>
                <w:color w:val="auto"/>
                <w:highlight w:val="none"/>
              </w:rPr>
              <w:t>6</w:t>
            </w:r>
          </w:p>
        </w:tc>
        <w:tc>
          <w:tcPr>
            <w:tcW w:w="5928" w:type="dxa"/>
            <w:vAlign w:val="center"/>
          </w:tcPr>
          <w:p>
            <w:pPr>
              <w:rPr>
                <w:rFonts w:ascii="宋体" w:hAnsi="宋体"/>
                <w:color w:val="auto"/>
                <w:highlight w:val="none"/>
              </w:rPr>
            </w:pPr>
            <w:r>
              <w:rPr>
                <w:color w:val="auto"/>
                <w:szCs w:val="21"/>
                <w:highlight w:val="none"/>
              </w:rPr>
              <w:t>投标文件载明的招标项目完成期限</w:t>
            </w:r>
            <w:r>
              <w:rPr>
                <w:rFonts w:hint="eastAsia"/>
                <w:color w:val="auto"/>
                <w:szCs w:val="21"/>
                <w:highlight w:val="none"/>
              </w:rPr>
              <w:t>未</w:t>
            </w:r>
            <w:r>
              <w:rPr>
                <w:color w:val="auto"/>
                <w:szCs w:val="21"/>
                <w:highlight w:val="none"/>
              </w:rPr>
              <w:t>超过招标文件规定的期限</w:t>
            </w:r>
            <w:r>
              <w:rPr>
                <w:rFonts w:hint="eastAsia" w:hAnsi="宋体"/>
                <w:color w:val="auto"/>
                <w:szCs w:val="21"/>
                <w:highlight w:val="none"/>
              </w:rPr>
              <w:t>（以开标一览表为准）</w:t>
            </w:r>
          </w:p>
        </w:tc>
        <w:tc>
          <w:tcPr>
            <w:tcW w:w="1875" w:type="dxa"/>
            <w:vAlign w:val="center"/>
          </w:tcPr>
          <w:p>
            <w:pPr>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4" w:type="dxa"/>
            <w:vAlign w:val="center"/>
          </w:tcPr>
          <w:p>
            <w:pPr>
              <w:ind w:left="57"/>
              <w:jc w:val="center"/>
              <w:rPr>
                <w:rFonts w:ascii="宋体" w:hAnsi="宋体"/>
                <w:color w:val="auto"/>
                <w:highlight w:val="none"/>
              </w:rPr>
            </w:pPr>
            <w:r>
              <w:rPr>
                <w:rFonts w:hint="eastAsia" w:ascii="宋体" w:hAnsi="宋体"/>
                <w:color w:val="auto"/>
                <w:highlight w:val="none"/>
              </w:rPr>
              <w:t>7</w:t>
            </w:r>
          </w:p>
        </w:tc>
        <w:tc>
          <w:tcPr>
            <w:tcW w:w="5928" w:type="dxa"/>
            <w:vAlign w:val="center"/>
          </w:tcPr>
          <w:p>
            <w:pPr>
              <w:jc w:val="left"/>
              <w:rPr>
                <w:rFonts w:ascii="宋体" w:hAnsi="宋体"/>
                <w:color w:val="auto"/>
                <w:highlight w:val="none"/>
              </w:rPr>
            </w:pPr>
            <w:r>
              <w:rPr>
                <w:rFonts w:hint="eastAsia" w:ascii="宋体" w:hAnsi="宋体"/>
                <w:color w:val="auto"/>
                <w:highlight w:val="none"/>
              </w:rPr>
              <w:t>投标文件载明的免费保修期不低于招标文件规定的期限</w:t>
            </w:r>
          </w:p>
        </w:tc>
        <w:tc>
          <w:tcPr>
            <w:tcW w:w="1875" w:type="dxa"/>
            <w:vAlign w:val="center"/>
          </w:tcPr>
          <w:p>
            <w:pPr>
              <w:ind w:left="57"/>
              <w:jc w:val="center"/>
              <w:rPr>
                <w:rFonts w:ascii="宋体" w:hAnsi="宋体"/>
                <w:color w:val="auto"/>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4" w:type="dxa"/>
            <w:vAlign w:val="center"/>
          </w:tcPr>
          <w:p>
            <w:pPr>
              <w:ind w:left="57"/>
              <w:jc w:val="center"/>
              <w:rPr>
                <w:rFonts w:ascii="宋体" w:hAnsi="宋体"/>
                <w:color w:val="auto"/>
                <w:highlight w:val="none"/>
              </w:rPr>
            </w:pPr>
            <w:r>
              <w:rPr>
                <w:rFonts w:hint="eastAsia" w:ascii="宋体" w:hAnsi="宋体"/>
                <w:color w:val="auto"/>
                <w:highlight w:val="none"/>
              </w:rPr>
              <w:t>8</w:t>
            </w:r>
          </w:p>
        </w:tc>
        <w:tc>
          <w:tcPr>
            <w:tcW w:w="5928" w:type="dxa"/>
            <w:vAlign w:val="center"/>
          </w:tcPr>
          <w:p>
            <w:pPr>
              <w:jc w:val="left"/>
              <w:rPr>
                <w:rFonts w:ascii="宋体" w:hAnsi="宋体"/>
                <w:color w:val="auto"/>
                <w:highlight w:val="none"/>
              </w:rPr>
            </w:pPr>
            <w:r>
              <w:rPr>
                <w:rFonts w:hint="eastAsia" w:hAnsi="宋体"/>
                <w:color w:val="auto"/>
                <w:szCs w:val="21"/>
                <w:highlight w:val="none"/>
              </w:rPr>
              <w:t>按招标文件的要求填报所投产品具体完整的品牌、型号、产地</w:t>
            </w:r>
          </w:p>
        </w:tc>
        <w:tc>
          <w:tcPr>
            <w:tcW w:w="1875" w:type="dxa"/>
            <w:vAlign w:val="center"/>
          </w:tcPr>
          <w:p>
            <w:pPr>
              <w:ind w:left="57"/>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4" w:type="dxa"/>
            <w:vAlign w:val="center"/>
          </w:tcPr>
          <w:p>
            <w:pPr>
              <w:ind w:left="57"/>
              <w:jc w:val="center"/>
              <w:rPr>
                <w:rFonts w:ascii="宋体" w:hAnsi="宋体"/>
                <w:color w:val="auto"/>
                <w:highlight w:val="none"/>
              </w:rPr>
            </w:pPr>
            <w:r>
              <w:rPr>
                <w:rFonts w:hint="eastAsia" w:ascii="宋体" w:hAnsi="宋体"/>
                <w:color w:val="auto"/>
                <w:highlight w:val="none"/>
              </w:rPr>
              <w:t>9</w:t>
            </w:r>
          </w:p>
        </w:tc>
        <w:tc>
          <w:tcPr>
            <w:tcW w:w="5928" w:type="dxa"/>
            <w:vAlign w:val="center"/>
          </w:tcPr>
          <w:p>
            <w:pPr>
              <w:jc w:val="left"/>
              <w:rPr>
                <w:rFonts w:ascii="宋体" w:hAnsi="宋体"/>
                <w:color w:val="auto"/>
                <w:highlight w:val="none"/>
              </w:rPr>
            </w:pPr>
            <w:r>
              <w:rPr>
                <w:rFonts w:hint="eastAsia" w:hAnsi="宋体"/>
                <w:color w:val="auto"/>
                <w:szCs w:val="21"/>
                <w:highlight w:val="none"/>
              </w:rPr>
              <w:t>《技术偏离表》和《商务偏离表》已提交</w:t>
            </w:r>
          </w:p>
        </w:tc>
        <w:tc>
          <w:tcPr>
            <w:tcW w:w="1875" w:type="dxa"/>
            <w:vAlign w:val="center"/>
          </w:tcPr>
          <w:p>
            <w:pPr>
              <w:ind w:left="57"/>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4" w:type="dxa"/>
            <w:vAlign w:val="center"/>
          </w:tcPr>
          <w:p>
            <w:pPr>
              <w:ind w:left="57"/>
              <w:jc w:val="center"/>
              <w:rPr>
                <w:rFonts w:ascii="宋体" w:hAnsi="宋体"/>
                <w:color w:val="auto"/>
                <w:highlight w:val="none"/>
              </w:rPr>
            </w:pPr>
            <w:r>
              <w:rPr>
                <w:rFonts w:hint="eastAsia" w:ascii="宋体" w:hAnsi="宋体"/>
                <w:color w:val="auto"/>
                <w:highlight w:val="none"/>
              </w:rPr>
              <w:t>10</w:t>
            </w:r>
          </w:p>
        </w:tc>
        <w:tc>
          <w:tcPr>
            <w:tcW w:w="5928" w:type="dxa"/>
            <w:vAlign w:val="center"/>
          </w:tcPr>
          <w:p>
            <w:pPr>
              <w:rPr>
                <w:rFonts w:ascii="宋体" w:hAnsi="宋体"/>
                <w:color w:val="auto"/>
                <w:highlight w:val="none"/>
              </w:rPr>
            </w:pPr>
            <w:r>
              <w:rPr>
                <w:rFonts w:hint="eastAsia" w:ascii="宋体" w:hAnsi="宋体"/>
                <w:color w:val="auto"/>
                <w:highlight w:val="none"/>
              </w:rPr>
              <w:t>“否决性条款”列明的其他情况</w:t>
            </w:r>
          </w:p>
        </w:tc>
        <w:tc>
          <w:tcPr>
            <w:tcW w:w="1875" w:type="dxa"/>
            <w:vAlign w:val="center"/>
          </w:tcPr>
          <w:p>
            <w:pPr>
              <w:jc w:val="center"/>
              <w:rPr>
                <w:rFonts w:ascii="宋体" w:hAnsi="宋体"/>
                <w:color w:val="auto"/>
                <w:szCs w:val="21"/>
                <w:highlight w:val="none"/>
              </w:rPr>
            </w:pPr>
            <w:r>
              <w:rPr>
                <w:rFonts w:ascii="宋体" w:hAnsi="宋体"/>
                <w:color w:val="auto"/>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4" w:type="dxa"/>
            <w:vAlign w:val="center"/>
          </w:tcPr>
          <w:p>
            <w:pPr>
              <w:ind w:left="57"/>
              <w:jc w:val="center"/>
              <w:rPr>
                <w:rFonts w:ascii="宋体" w:hAnsi="宋体"/>
                <w:color w:val="auto"/>
                <w:highlight w:val="none"/>
              </w:rPr>
            </w:pPr>
            <w:r>
              <w:rPr>
                <w:rFonts w:hint="eastAsia" w:ascii="宋体" w:hAnsi="宋体"/>
                <w:color w:val="auto"/>
                <w:highlight w:val="none"/>
              </w:rPr>
              <w:t>11</w:t>
            </w:r>
          </w:p>
        </w:tc>
        <w:tc>
          <w:tcPr>
            <w:tcW w:w="5928" w:type="dxa"/>
            <w:vAlign w:val="center"/>
          </w:tcPr>
          <w:p>
            <w:pPr>
              <w:rPr>
                <w:rFonts w:ascii="宋体" w:hAnsi="宋体"/>
                <w:color w:val="auto"/>
                <w:szCs w:val="21"/>
                <w:highlight w:val="none"/>
              </w:rPr>
            </w:pPr>
            <w:r>
              <w:rPr>
                <w:rFonts w:ascii="宋体" w:hAnsi="宋体"/>
                <w:color w:val="auto"/>
                <w:szCs w:val="21"/>
                <w:highlight w:val="none"/>
              </w:rPr>
              <w:t>结论</w:t>
            </w:r>
          </w:p>
        </w:tc>
        <w:tc>
          <w:tcPr>
            <w:tcW w:w="1875" w:type="dxa"/>
            <w:vAlign w:val="center"/>
          </w:tcPr>
          <w:p>
            <w:pPr>
              <w:jc w:val="center"/>
              <w:rPr>
                <w:rFonts w:ascii="宋体" w:hAnsi="宋体"/>
                <w:color w:val="auto"/>
                <w:szCs w:val="21"/>
                <w:highlight w:val="none"/>
              </w:rPr>
            </w:pPr>
            <w:r>
              <w:rPr>
                <w:rFonts w:ascii="宋体" w:hAnsi="宋体"/>
                <w:color w:val="auto"/>
                <w:szCs w:val="21"/>
                <w:highlight w:val="none"/>
              </w:rPr>
              <w:t>通过/不通过</w:t>
            </w:r>
          </w:p>
        </w:tc>
      </w:tr>
    </w:tbl>
    <w:p>
      <w:pPr>
        <w:tabs>
          <w:tab w:val="left" w:pos="2250"/>
        </w:tabs>
        <w:spacing w:line="340" w:lineRule="exact"/>
        <w:ind w:firstLine="422" w:firstLineChars="200"/>
        <w:rPr>
          <w:rFonts w:ascii="宋体" w:hAnsi="宋体"/>
          <w:b/>
          <w:color w:val="auto"/>
          <w:szCs w:val="21"/>
          <w:highlight w:val="none"/>
        </w:rPr>
      </w:pPr>
      <w:r>
        <w:rPr>
          <w:rFonts w:hint="eastAsia" w:ascii="宋体" w:hAnsi="宋体"/>
          <w:b/>
          <w:color w:val="auto"/>
          <w:szCs w:val="21"/>
          <w:highlight w:val="none"/>
        </w:rPr>
        <w:t>2、评分表</w:t>
      </w:r>
    </w:p>
    <w:tbl>
      <w:tblPr>
        <w:tblStyle w:val="29"/>
        <w:tblW w:w="89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731"/>
        <w:gridCol w:w="1623"/>
        <w:gridCol w:w="925"/>
        <w:gridCol w:w="1235"/>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序号</w:t>
            </w:r>
          </w:p>
        </w:tc>
        <w:tc>
          <w:tcPr>
            <w:tcW w:w="4514" w:type="dxa"/>
            <w:gridSpan w:val="4"/>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评分项</w:t>
            </w:r>
          </w:p>
        </w:tc>
        <w:tc>
          <w:tcPr>
            <w:tcW w:w="3790"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jc w:val="center"/>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t>1</w:t>
            </w:r>
          </w:p>
        </w:tc>
        <w:tc>
          <w:tcPr>
            <w:tcW w:w="4514" w:type="dxa"/>
            <w:gridSpan w:val="4"/>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价格</w:t>
            </w:r>
          </w:p>
        </w:tc>
        <w:tc>
          <w:tcPr>
            <w:tcW w:w="3790" w:type="dxa"/>
            <w:vAlign w:val="center"/>
          </w:tcPr>
          <w:p>
            <w:pPr>
              <w:jc w:val="center"/>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jc w:val="center"/>
              <w:rPr>
                <w:rFonts w:asciiTheme="minorEastAsia" w:hAnsiTheme="minorEastAsia" w:eastAsiaTheme="minorEastAsia"/>
                <w:color w:val="auto"/>
                <w:szCs w:val="21"/>
                <w:highlight w:val="none"/>
              </w:rPr>
            </w:pPr>
          </w:p>
        </w:tc>
        <w:tc>
          <w:tcPr>
            <w:tcW w:w="8304" w:type="dxa"/>
            <w:gridSpan w:val="5"/>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投标报价价格分=（评标基准价/投标报价）×30；</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评标基准价为满足招标文件要求且投标价格最低的投标报价。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jc w:val="center"/>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t>2</w:t>
            </w:r>
          </w:p>
        </w:tc>
        <w:tc>
          <w:tcPr>
            <w:tcW w:w="4514" w:type="dxa"/>
            <w:gridSpan w:val="4"/>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技术部分</w:t>
            </w:r>
          </w:p>
        </w:tc>
        <w:tc>
          <w:tcPr>
            <w:tcW w:w="3790" w:type="dxa"/>
            <w:vAlign w:val="center"/>
          </w:tcPr>
          <w:p>
            <w:pPr>
              <w:jc w:val="center"/>
              <w:rPr>
                <w:rFonts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4</w:t>
            </w:r>
            <w:r>
              <w:rPr>
                <w:rFonts w:cs="宋体" w:asciiTheme="minorEastAsia" w:hAnsiTheme="minorEastAsia" w:eastAsiaTheme="minorEastAsia"/>
                <w:b/>
                <w:color w:val="auto"/>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Merge w:val="restart"/>
            <w:vAlign w:val="center"/>
          </w:tcPr>
          <w:p>
            <w:pPr>
              <w:jc w:val="center"/>
              <w:rPr>
                <w:rFonts w:asciiTheme="minorEastAsia" w:hAnsiTheme="minorEastAsia" w:eastAsiaTheme="minorEastAsia"/>
                <w:color w:val="auto"/>
                <w:szCs w:val="21"/>
                <w:highlight w:val="none"/>
              </w:rPr>
            </w:pPr>
          </w:p>
        </w:tc>
        <w:tc>
          <w:tcPr>
            <w:tcW w:w="731"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序号</w:t>
            </w:r>
          </w:p>
        </w:tc>
        <w:tc>
          <w:tcPr>
            <w:tcW w:w="1623"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评分因素</w:t>
            </w:r>
          </w:p>
        </w:tc>
        <w:tc>
          <w:tcPr>
            <w:tcW w:w="925"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权重</w:t>
            </w:r>
          </w:p>
        </w:tc>
        <w:tc>
          <w:tcPr>
            <w:tcW w:w="1235"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评分方式</w:t>
            </w:r>
          </w:p>
        </w:tc>
        <w:tc>
          <w:tcPr>
            <w:tcW w:w="3790"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Merge w:val="continue"/>
            <w:vAlign w:val="center"/>
          </w:tcPr>
          <w:p>
            <w:pPr>
              <w:jc w:val="center"/>
              <w:outlineLvl w:val="2"/>
              <w:rPr>
                <w:rFonts w:asciiTheme="minorEastAsia" w:hAnsiTheme="minorEastAsia" w:eastAsiaTheme="minorEastAsia"/>
                <w:color w:val="auto"/>
                <w:szCs w:val="21"/>
                <w:highlight w:val="none"/>
              </w:rPr>
            </w:pPr>
          </w:p>
        </w:tc>
        <w:tc>
          <w:tcPr>
            <w:tcW w:w="731" w:type="dxa"/>
            <w:vAlign w:val="center"/>
          </w:tcPr>
          <w:p>
            <w:pPr>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p>
        </w:tc>
        <w:tc>
          <w:tcPr>
            <w:tcW w:w="1623" w:type="dxa"/>
            <w:vAlign w:val="center"/>
          </w:tcPr>
          <w:p>
            <w:pPr>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技术规格偏离情况</w:t>
            </w:r>
          </w:p>
        </w:tc>
        <w:tc>
          <w:tcPr>
            <w:tcW w:w="925" w:type="dxa"/>
            <w:vAlign w:val="center"/>
          </w:tcPr>
          <w:p>
            <w:pPr>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4</w:t>
            </w:r>
            <w:r>
              <w:rPr>
                <w:rFonts w:cs="宋体" w:asciiTheme="minorEastAsia" w:hAnsiTheme="minorEastAsia" w:eastAsiaTheme="minorEastAsia"/>
                <w:color w:val="auto"/>
                <w:szCs w:val="21"/>
                <w:highlight w:val="none"/>
              </w:rPr>
              <w:t>8</w:t>
            </w:r>
          </w:p>
        </w:tc>
        <w:tc>
          <w:tcPr>
            <w:tcW w:w="123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评委评分</w:t>
            </w:r>
          </w:p>
        </w:tc>
        <w:tc>
          <w:tcPr>
            <w:tcW w:w="3790" w:type="dxa"/>
            <w:vAlign w:val="center"/>
          </w:tcPr>
          <w:p>
            <w:pP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投标人应如实填写《技术规格偏离表》，评审委员会根据技术需求参数响应情况进行打分，各项技术参数指标及要求全部满足的得100</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号重要参数每负偏离一项扣10</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，其他一般参数每负偏离一项扣5</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jc w:val="center"/>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t>3</w:t>
            </w:r>
          </w:p>
        </w:tc>
        <w:tc>
          <w:tcPr>
            <w:tcW w:w="4514" w:type="dxa"/>
            <w:gridSpan w:val="4"/>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商务部分</w:t>
            </w:r>
          </w:p>
        </w:tc>
        <w:tc>
          <w:tcPr>
            <w:tcW w:w="3790" w:type="dxa"/>
            <w:vAlign w:val="center"/>
          </w:tcPr>
          <w:p>
            <w:pPr>
              <w:jc w:val="center"/>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Merge w:val="restart"/>
            <w:vAlign w:val="center"/>
          </w:tcPr>
          <w:p>
            <w:pPr>
              <w:jc w:val="center"/>
              <w:outlineLvl w:val="0"/>
              <w:rPr>
                <w:rFonts w:asciiTheme="minorEastAsia" w:hAnsiTheme="minorEastAsia" w:eastAsiaTheme="minorEastAsia"/>
                <w:color w:val="auto"/>
                <w:szCs w:val="21"/>
                <w:highlight w:val="none"/>
              </w:rPr>
            </w:pPr>
          </w:p>
        </w:tc>
        <w:tc>
          <w:tcPr>
            <w:tcW w:w="731"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序号</w:t>
            </w:r>
          </w:p>
        </w:tc>
        <w:tc>
          <w:tcPr>
            <w:tcW w:w="1623"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评分因素</w:t>
            </w:r>
          </w:p>
        </w:tc>
        <w:tc>
          <w:tcPr>
            <w:tcW w:w="925"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权重</w:t>
            </w:r>
          </w:p>
        </w:tc>
        <w:tc>
          <w:tcPr>
            <w:tcW w:w="1235"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评分方式</w:t>
            </w:r>
          </w:p>
        </w:tc>
        <w:tc>
          <w:tcPr>
            <w:tcW w:w="3790"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Merge w:val="continue"/>
            <w:vAlign w:val="center"/>
          </w:tcPr>
          <w:p>
            <w:pPr>
              <w:jc w:val="center"/>
              <w:outlineLvl w:val="0"/>
              <w:rPr>
                <w:rFonts w:asciiTheme="minorEastAsia" w:hAnsiTheme="minorEastAsia" w:eastAsiaTheme="minorEastAsia"/>
                <w:color w:val="auto"/>
                <w:szCs w:val="21"/>
                <w:highlight w:val="none"/>
              </w:rPr>
            </w:pPr>
          </w:p>
        </w:tc>
        <w:tc>
          <w:tcPr>
            <w:tcW w:w="731" w:type="dxa"/>
            <w:vAlign w:val="center"/>
          </w:tcPr>
          <w:p>
            <w:pPr>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p>
        </w:tc>
        <w:tc>
          <w:tcPr>
            <w:tcW w:w="1623"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免费保修期内售后服务条款偏离情况</w:t>
            </w:r>
          </w:p>
        </w:tc>
        <w:tc>
          <w:tcPr>
            <w:tcW w:w="925" w:type="dxa"/>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5</w:t>
            </w:r>
          </w:p>
        </w:tc>
        <w:tc>
          <w:tcPr>
            <w:tcW w:w="123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评委评分</w:t>
            </w:r>
          </w:p>
        </w:tc>
        <w:tc>
          <w:tcPr>
            <w:tcW w:w="3790" w:type="dxa"/>
            <w:vAlign w:val="center"/>
          </w:tcPr>
          <w:p>
            <w:pPr>
              <w:widowControl/>
              <w:spacing w:line="280" w:lineRule="atLeast"/>
              <w:jc w:val="left"/>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1.投标人应如实填写《免费保修期内售后服务条款偏离表》，评审委员会根据响应情况进行打分。满足免费保修期的得30</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，每增加一年加10</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，最高得60</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w:t>
            </w:r>
          </w:p>
          <w:p>
            <w:pPr>
              <w:rPr>
                <w:rFonts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2.其他要求全部满足要求的得40</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，每负偏离一项扣10</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Merge w:val="continue"/>
            <w:vAlign w:val="center"/>
          </w:tcPr>
          <w:p>
            <w:pPr>
              <w:jc w:val="center"/>
              <w:outlineLvl w:val="2"/>
              <w:rPr>
                <w:rFonts w:asciiTheme="minorEastAsia" w:hAnsiTheme="minorEastAsia" w:eastAsiaTheme="minorEastAsia"/>
                <w:color w:val="auto"/>
                <w:szCs w:val="21"/>
                <w:highlight w:val="none"/>
              </w:rPr>
            </w:pPr>
          </w:p>
        </w:tc>
        <w:tc>
          <w:tcPr>
            <w:tcW w:w="731" w:type="dxa"/>
            <w:vAlign w:val="center"/>
          </w:tcPr>
          <w:p>
            <w:pPr>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p>
        </w:tc>
        <w:tc>
          <w:tcPr>
            <w:tcW w:w="1623" w:type="dxa"/>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免费保修期外售后服务条款偏离情况</w:t>
            </w:r>
          </w:p>
        </w:tc>
        <w:tc>
          <w:tcPr>
            <w:tcW w:w="925" w:type="dxa"/>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8</w:t>
            </w:r>
          </w:p>
        </w:tc>
        <w:tc>
          <w:tcPr>
            <w:tcW w:w="123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评委评分</w:t>
            </w:r>
          </w:p>
        </w:tc>
        <w:tc>
          <w:tcPr>
            <w:tcW w:w="3790" w:type="dxa"/>
            <w:vAlign w:val="center"/>
          </w:tcPr>
          <w:p>
            <w:pP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投标人应如实填写《免费保修期外售后服务条款偏离表》，评审委员会根据响应情况进行打分，每负偏离一项扣</w:t>
            </w:r>
            <w:r>
              <w:rPr>
                <w:rFonts w:asciiTheme="minorEastAsia" w:hAnsiTheme="minorEastAsia" w:eastAsiaTheme="minorEastAsia"/>
                <w:color w:val="auto"/>
                <w:szCs w:val="21"/>
                <w:highlight w:val="none"/>
              </w:rPr>
              <w:t>20</w:t>
            </w:r>
            <w:r>
              <w:rPr>
                <w:rFonts w:hint="eastAsia" w:cs="宋体"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Merge w:val="continue"/>
            <w:vAlign w:val="center"/>
          </w:tcPr>
          <w:p>
            <w:pPr>
              <w:jc w:val="center"/>
              <w:outlineLvl w:val="2"/>
              <w:rPr>
                <w:rFonts w:asciiTheme="minorEastAsia" w:hAnsiTheme="minorEastAsia" w:eastAsiaTheme="minorEastAsia"/>
                <w:color w:val="auto"/>
                <w:szCs w:val="21"/>
                <w:highlight w:val="none"/>
              </w:rPr>
            </w:pPr>
          </w:p>
        </w:tc>
        <w:tc>
          <w:tcPr>
            <w:tcW w:w="731" w:type="dxa"/>
            <w:vAlign w:val="center"/>
          </w:tcPr>
          <w:p>
            <w:pPr>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3</w:t>
            </w:r>
          </w:p>
        </w:tc>
        <w:tc>
          <w:tcPr>
            <w:tcW w:w="1623"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其他商务条款偏离情况</w:t>
            </w:r>
          </w:p>
        </w:tc>
        <w:tc>
          <w:tcPr>
            <w:tcW w:w="925" w:type="dxa"/>
            <w:vAlign w:val="center"/>
          </w:tcPr>
          <w:p>
            <w:pPr>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w:t>
            </w:r>
          </w:p>
        </w:tc>
        <w:tc>
          <w:tcPr>
            <w:tcW w:w="123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评委评分</w:t>
            </w:r>
          </w:p>
        </w:tc>
        <w:tc>
          <w:tcPr>
            <w:tcW w:w="3790" w:type="dxa"/>
            <w:vAlign w:val="center"/>
          </w:tcPr>
          <w:p>
            <w:pP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投标人应如实填写《其他商务条款偏离表》，评审委员会根据响应情况进行打分，全部满足要求的得</w:t>
            </w:r>
            <w:r>
              <w:rPr>
                <w:rFonts w:asciiTheme="minorEastAsia" w:hAnsiTheme="minorEastAsia" w:eastAsiaTheme="minorEastAsia"/>
                <w:color w:val="auto"/>
                <w:szCs w:val="21"/>
                <w:highlight w:val="none"/>
              </w:rPr>
              <w:t>100</w:t>
            </w:r>
            <w:r>
              <w:rPr>
                <w:rFonts w:hint="eastAsia" w:cs="宋体" w:asciiTheme="minorEastAsia" w:hAnsiTheme="minorEastAsia" w:eastAsiaTheme="minorEastAsia"/>
                <w:color w:val="auto"/>
                <w:szCs w:val="21"/>
                <w:highlight w:val="none"/>
              </w:rPr>
              <w:t>%，每负偏离一项扣</w:t>
            </w:r>
            <w:r>
              <w:rPr>
                <w:rFonts w:asciiTheme="minorEastAsia" w:hAnsiTheme="minorEastAsia" w:eastAsiaTheme="minorEastAsia"/>
                <w:color w:val="auto"/>
                <w:szCs w:val="21"/>
                <w:highlight w:val="none"/>
              </w:rPr>
              <w:t>10</w:t>
            </w:r>
            <w:r>
              <w:rPr>
                <w:rFonts w:hint="eastAsia" w:cs="宋体"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jc w:val="center"/>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t>4</w:t>
            </w:r>
          </w:p>
        </w:tc>
        <w:tc>
          <w:tcPr>
            <w:tcW w:w="4514" w:type="dxa"/>
            <w:gridSpan w:val="4"/>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诚信情况</w:t>
            </w:r>
          </w:p>
        </w:tc>
        <w:tc>
          <w:tcPr>
            <w:tcW w:w="3790" w:type="dxa"/>
            <w:vAlign w:val="center"/>
          </w:tcPr>
          <w:p>
            <w:pPr>
              <w:pStyle w:val="19"/>
              <w:numPr>
                <w:ilvl w:val="12"/>
                <w:numId w:val="0"/>
              </w:numPr>
              <w:pBdr>
                <w:bottom w:val="none" w:color="auto" w:sz="0" w:space="0"/>
              </w:pBdr>
              <w:tabs>
                <w:tab w:val="clear" w:pos="4153"/>
                <w:tab w:val="clear" w:pos="8306"/>
              </w:tabs>
              <w:rPr>
                <w:rFonts w:asciiTheme="minorEastAsia" w:hAnsiTheme="minorEastAsia" w:eastAsiaTheme="minorEastAsia"/>
                <w:b/>
                <w:color w:val="auto"/>
                <w:sz w:val="21"/>
                <w:szCs w:val="21"/>
                <w:highlight w:val="none"/>
              </w:rPr>
            </w:pPr>
            <w:r>
              <w:rPr>
                <w:rFonts w:asciiTheme="minorEastAsia" w:hAnsiTheme="minorEastAsia" w:eastAsiaTheme="minorEastAsia"/>
                <w:b/>
                <w:color w:val="auto"/>
                <w:sz w:val="21"/>
                <w:szCs w:val="21"/>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Merge w:val="restart"/>
            <w:vAlign w:val="center"/>
          </w:tcPr>
          <w:p>
            <w:pPr>
              <w:jc w:val="center"/>
              <w:rPr>
                <w:rFonts w:asciiTheme="minorEastAsia" w:hAnsiTheme="minorEastAsia" w:eastAsiaTheme="minorEastAsia"/>
                <w:b/>
                <w:color w:val="auto"/>
                <w:szCs w:val="21"/>
                <w:highlight w:val="none"/>
              </w:rPr>
            </w:pPr>
          </w:p>
        </w:tc>
        <w:tc>
          <w:tcPr>
            <w:tcW w:w="731"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序号</w:t>
            </w:r>
          </w:p>
        </w:tc>
        <w:tc>
          <w:tcPr>
            <w:tcW w:w="1623"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评分因素</w:t>
            </w:r>
          </w:p>
        </w:tc>
        <w:tc>
          <w:tcPr>
            <w:tcW w:w="925"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权重</w:t>
            </w:r>
          </w:p>
        </w:tc>
        <w:tc>
          <w:tcPr>
            <w:tcW w:w="1235"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评分方式</w:t>
            </w:r>
          </w:p>
        </w:tc>
        <w:tc>
          <w:tcPr>
            <w:tcW w:w="3790" w:type="dxa"/>
            <w:vAlign w:val="center"/>
          </w:tcPr>
          <w:p>
            <w:pPr>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Merge w:val="continue"/>
            <w:vAlign w:val="center"/>
          </w:tcPr>
          <w:p>
            <w:pPr>
              <w:jc w:val="center"/>
              <w:outlineLvl w:val="0"/>
              <w:rPr>
                <w:rFonts w:asciiTheme="minorEastAsia" w:hAnsiTheme="minorEastAsia" w:eastAsiaTheme="minorEastAsia"/>
                <w:color w:val="auto"/>
                <w:szCs w:val="21"/>
                <w:highlight w:val="none"/>
              </w:rPr>
            </w:pPr>
          </w:p>
        </w:tc>
        <w:tc>
          <w:tcPr>
            <w:tcW w:w="731" w:type="dxa"/>
            <w:vAlign w:val="center"/>
          </w:tcPr>
          <w:p>
            <w:pPr>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p>
        </w:tc>
        <w:tc>
          <w:tcPr>
            <w:tcW w:w="1623"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诚信</w:t>
            </w:r>
          </w:p>
        </w:tc>
        <w:tc>
          <w:tcPr>
            <w:tcW w:w="925" w:type="dxa"/>
            <w:vAlign w:val="center"/>
          </w:tcPr>
          <w:p>
            <w:pPr>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5</w:t>
            </w:r>
          </w:p>
        </w:tc>
        <w:tc>
          <w:tcPr>
            <w:tcW w:w="123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评委评分</w:t>
            </w:r>
          </w:p>
        </w:tc>
        <w:tc>
          <w:tcPr>
            <w:tcW w:w="3790" w:type="dxa"/>
          </w:tcPr>
          <w:p>
            <w:pP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szCs w:val="21"/>
                <w:highlight w:val="none"/>
              </w:rPr>
              <w:t>根据《深圳市财政委员会关于加强招投标评审环节诚信管理的通知》（深财购[2013]27号）和《深圳市财政委员会关于印发&lt;深圳市政府采购供应商诚信管理暂行办法操作细则&gt;的通知》(深财购[2017]42号)的要求，投标人在参与政府采购活动中存在诚信相关问题且在主管部门相关处理措施实施期限内的，本项不得分，否则得满分。投标人无需提供任何证明材料，由工作人员依据市采购中心系统查询结果向评审委员会提供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Merge w:val="continue"/>
            <w:vAlign w:val="center"/>
          </w:tcPr>
          <w:p>
            <w:pPr>
              <w:jc w:val="center"/>
              <w:outlineLvl w:val="2"/>
              <w:rPr>
                <w:rFonts w:asciiTheme="minorEastAsia" w:hAnsiTheme="minorEastAsia" w:eastAsiaTheme="minorEastAsia"/>
                <w:color w:val="auto"/>
                <w:szCs w:val="21"/>
                <w:highlight w:val="none"/>
              </w:rPr>
            </w:pPr>
          </w:p>
        </w:tc>
        <w:tc>
          <w:tcPr>
            <w:tcW w:w="731" w:type="dxa"/>
            <w:vAlign w:val="center"/>
          </w:tcPr>
          <w:p>
            <w:pPr>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p>
        </w:tc>
        <w:tc>
          <w:tcPr>
            <w:tcW w:w="1623"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履约</w:t>
            </w:r>
          </w:p>
        </w:tc>
        <w:tc>
          <w:tcPr>
            <w:tcW w:w="925" w:type="dxa"/>
            <w:vAlign w:val="center"/>
          </w:tcPr>
          <w:p>
            <w:pPr>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p>
        </w:tc>
        <w:tc>
          <w:tcPr>
            <w:tcW w:w="1235" w:type="dxa"/>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评委评分</w:t>
            </w:r>
          </w:p>
        </w:tc>
        <w:tc>
          <w:tcPr>
            <w:tcW w:w="3790" w:type="dxa"/>
          </w:tcPr>
          <w:p>
            <w:pPr>
              <w:pStyle w:val="19"/>
              <w:numPr>
                <w:ilvl w:val="12"/>
                <w:numId w:val="0"/>
              </w:numPr>
              <w:pBdr>
                <w:bottom w:val="none" w:color="auto" w:sz="0" w:space="0"/>
              </w:pBdr>
              <w:tabs>
                <w:tab w:val="clear" w:pos="4153"/>
                <w:tab w:val="clear" w:pos="8306"/>
              </w:tabs>
              <w:jc w:val="both"/>
              <w:rPr>
                <w:rFonts w:cs="宋体"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在市政府采购中心有履约评价为差的记录，本项不得分，否则，得满分。</w:t>
            </w:r>
            <w:r>
              <w:rPr>
                <w:rFonts w:hint="eastAsia" w:cs="宋体" w:asciiTheme="minorEastAsia" w:hAnsiTheme="minorEastAsia" w:eastAsiaTheme="minorEastAsia"/>
                <w:color w:val="auto"/>
                <w:sz w:val="21"/>
                <w:szCs w:val="21"/>
                <w:highlight w:val="none"/>
              </w:rPr>
              <w:t>投标人无需提供任何证明材料，由工作人员依据市采购中心系统查询结果向评委会提供相关信息。</w:t>
            </w:r>
          </w:p>
        </w:tc>
      </w:tr>
    </w:tbl>
    <w:p>
      <w:pPr>
        <w:spacing w:line="340" w:lineRule="exact"/>
        <w:ind w:firstLine="422" w:firstLineChars="200"/>
        <w:rPr>
          <w:rFonts w:ascii="宋体" w:hAnsi="宋体"/>
          <w:color w:val="auto"/>
          <w:szCs w:val="21"/>
          <w:highlight w:val="none"/>
        </w:rPr>
      </w:pPr>
      <w:r>
        <w:rPr>
          <w:rFonts w:hint="eastAsia" w:ascii="宋体" w:hAnsi="宋体"/>
          <w:b/>
          <w:color w:val="auto"/>
          <w:szCs w:val="21"/>
          <w:highlight w:val="none"/>
        </w:rPr>
        <w:t>说明：</w:t>
      </w:r>
      <w:r>
        <w:rPr>
          <w:rFonts w:hint="eastAsia" w:ascii="宋体" w:hAnsi="宋体"/>
          <w:color w:val="auto"/>
          <w:szCs w:val="21"/>
          <w:highlight w:val="none"/>
        </w:rPr>
        <w:t>1、本评分表中每一栏的得分最高不得超过该项评审指标的分值。2、表中要求提供相关计分证明文件的内容，投标文件中须明确加以说明，未按要求提供相关文件或说明不清楚的按不符合要求处理。</w:t>
      </w:r>
    </w:p>
    <w:p>
      <w:pPr>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三、评标及定标程序</w:t>
      </w:r>
    </w:p>
    <w:p>
      <w:pPr>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（一）授权评标委员会确定中标单位的方式</w:t>
      </w:r>
    </w:p>
    <w:p>
      <w:pPr>
        <w:pStyle w:val="61"/>
        <w:numPr>
          <w:ilvl w:val="0"/>
          <w:numId w:val="1"/>
        </w:numPr>
        <w:spacing w:line="360" w:lineRule="exact"/>
        <w:ind w:firstLineChars="0"/>
        <w:rPr>
          <w:rFonts w:ascii="宋体" w:hAnsi="宋体"/>
          <w:b/>
          <w:color w:val="auto"/>
          <w:szCs w:val="21"/>
          <w:highlight w:val="none"/>
        </w:rPr>
      </w:pPr>
      <w:r>
        <w:rPr>
          <w:rFonts w:ascii="宋体" w:hAnsi="宋体"/>
          <w:b/>
          <w:color w:val="auto"/>
          <w:szCs w:val="21"/>
          <w:highlight w:val="none"/>
        </w:rPr>
        <w:t>综合评分法</w:t>
      </w:r>
    </w:p>
    <w:p>
      <w:pPr>
        <w:spacing w:line="360" w:lineRule="exact"/>
        <w:ind w:firstLine="422" w:firstLineChars="200"/>
        <w:rPr>
          <w:rFonts w:ascii="Calibri" w:hAnsi="Calibri"/>
          <w:b/>
          <w:color w:val="auto"/>
          <w:szCs w:val="21"/>
          <w:highlight w:val="none"/>
        </w:rPr>
      </w:pPr>
      <w:r>
        <w:rPr>
          <w:rFonts w:hint="eastAsia" w:ascii="宋体" w:hAnsi="宋体"/>
          <w:b/>
          <w:color w:val="auto"/>
          <w:szCs w:val="21"/>
          <w:highlight w:val="none"/>
        </w:rPr>
        <w:t>1、</w:t>
      </w:r>
      <w:r>
        <w:rPr>
          <w:rFonts w:ascii="Calibri" w:hAnsi="宋体"/>
          <w:b/>
          <w:color w:val="auto"/>
          <w:szCs w:val="21"/>
          <w:highlight w:val="none"/>
        </w:rPr>
        <w:t>符合性检查</w:t>
      </w:r>
    </w:p>
    <w:p>
      <w:pPr>
        <w:spacing w:line="360" w:lineRule="exact"/>
        <w:ind w:firstLine="420" w:firstLineChars="200"/>
        <w:rPr>
          <w:rFonts w:ascii="宋体" w:hAnsi="宋体"/>
          <w:bCs/>
          <w:color w:val="auto"/>
          <w:szCs w:val="21"/>
          <w:highlight w:val="none"/>
        </w:rPr>
      </w:pPr>
      <w:r>
        <w:rPr>
          <w:rFonts w:hint="eastAsia" w:ascii="宋体" w:hAnsi="宋体"/>
          <w:bCs/>
          <w:color w:val="auto"/>
          <w:szCs w:val="21"/>
          <w:highlight w:val="none"/>
        </w:rPr>
        <w:t>（1）</w:t>
      </w:r>
      <w:r>
        <w:rPr>
          <w:rFonts w:ascii="宋体" w:hAnsi="宋体"/>
          <w:bCs/>
          <w:color w:val="auto"/>
          <w:szCs w:val="21"/>
          <w:highlight w:val="none"/>
        </w:rPr>
        <w:t>评标委员会根据</w:t>
      </w:r>
      <w:r>
        <w:rPr>
          <w:rFonts w:hint="eastAsia" w:ascii="宋体" w:hAnsi="宋体"/>
          <w:bCs/>
          <w:color w:val="auto"/>
          <w:szCs w:val="21"/>
          <w:highlight w:val="none"/>
        </w:rPr>
        <w:t>《</w:t>
      </w:r>
      <w:r>
        <w:rPr>
          <w:rFonts w:ascii="宋体" w:hAnsi="宋体"/>
          <w:bCs/>
          <w:color w:val="auto"/>
          <w:szCs w:val="21"/>
          <w:highlight w:val="none"/>
        </w:rPr>
        <w:t>符合性检查表》的内容和标准，对所有</w:t>
      </w:r>
      <w:r>
        <w:rPr>
          <w:rFonts w:hint="eastAsia" w:ascii="宋体" w:hAnsi="宋体"/>
          <w:bCs/>
          <w:color w:val="auto"/>
          <w:szCs w:val="21"/>
          <w:highlight w:val="none"/>
        </w:rPr>
        <w:t>通过资格性核查的</w:t>
      </w:r>
      <w:r>
        <w:rPr>
          <w:rFonts w:ascii="宋体" w:hAnsi="宋体"/>
          <w:bCs/>
          <w:color w:val="auto"/>
          <w:szCs w:val="21"/>
          <w:highlight w:val="none"/>
        </w:rPr>
        <w:t>投标</w:t>
      </w:r>
      <w:r>
        <w:rPr>
          <w:rFonts w:hint="eastAsia" w:ascii="宋体" w:hAnsi="宋体"/>
          <w:bCs/>
          <w:color w:val="auto"/>
          <w:szCs w:val="21"/>
          <w:highlight w:val="none"/>
        </w:rPr>
        <w:t>文件</w:t>
      </w:r>
      <w:r>
        <w:rPr>
          <w:rFonts w:ascii="宋体" w:hAnsi="宋体"/>
          <w:bCs/>
          <w:color w:val="auto"/>
          <w:szCs w:val="21"/>
          <w:highlight w:val="none"/>
        </w:rPr>
        <w:t>进行</w:t>
      </w:r>
      <w:r>
        <w:rPr>
          <w:rFonts w:hint="eastAsia" w:ascii="宋体" w:hAnsi="宋体"/>
          <w:bCs/>
          <w:color w:val="auto"/>
          <w:szCs w:val="21"/>
          <w:highlight w:val="none"/>
        </w:rPr>
        <w:t>审</w:t>
      </w:r>
      <w:r>
        <w:rPr>
          <w:rFonts w:ascii="宋体" w:hAnsi="宋体"/>
          <w:bCs/>
          <w:color w:val="auto"/>
          <w:szCs w:val="21"/>
          <w:highlight w:val="none"/>
        </w:rPr>
        <w:t>查。</w:t>
      </w:r>
    </w:p>
    <w:p>
      <w:pPr>
        <w:spacing w:line="360" w:lineRule="exact"/>
        <w:ind w:firstLine="420" w:firstLineChars="200"/>
        <w:rPr>
          <w:rFonts w:ascii="宋体" w:hAnsi="宋体"/>
          <w:bCs/>
          <w:color w:val="auto"/>
          <w:szCs w:val="21"/>
          <w:highlight w:val="none"/>
        </w:rPr>
      </w:pPr>
      <w:r>
        <w:rPr>
          <w:rFonts w:hint="eastAsia" w:ascii="宋体" w:hAnsi="宋体"/>
          <w:bCs/>
          <w:color w:val="auto"/>
          <w:szCs w:val="21"/>
          <w:highlight w:val="none"/>
        </w:rPr>
        <w:t>（2）</w:t>
      </w:r>
      <w:r>
        <w:rPr>
          <w:rFonts w:ascii="宋体" w:hAnsi="宋体"/>
          <w:bCs/>
          <w:color w:val="auto"/>
          <w:szCs w:val="21"/>
          <w:highlight w:val="none"/>
        </w:rPr>
        <w:t>符合性检查的对象是投标人提交的投标文件，评标委员会只就投标文件中所载明的情况进行</w:t>
      </w:r>
      <w:r>
        <w:rPr>
          <w:rFonts w:hint="eastAsia" w:ascii="宋体" w:hAnsi="宋体"/>
          <w:bCs/>
          <w:color w:val="auto"/>
          <w:szCs w:val="21"/>
          <w:highlight w:val="none"/>
        </w:rPr>
        <w:t>审</w:t>
      </w:r>
      <w:r>
        <w:rPr>
          <w:rFonts w:ascii="宋体" w:hAnsi="宋体"/>
          <w:bCs/>
          <w:color w:val="auto"/>
          <w:szCs w:val="21"/>
          <w:highlight w:val="none"/>
        </w:rPr>
        <w:t>查。</w:t>
      </w:r>
    </w:p>
    <w:p>
      <w:pPr>
        <w:spacing w:line="360" w:lineRule="exact"/>
        <w:ind w:firstLine="420" w:firstLineChars="200"/>
        <w:rPr>
          <w:rFonts w:ascii="Calibri" w:hAnsi="Calibri"/>
          <w:color w:val="auto"/>
          <w:szCs w:val="21"/>
          <w:highlight w:val="none"/>
        </w:rPr>
      </w:pPr>
      <w:r>
        <w:rPr>
          <w:rFonts w:hint="eastAsia" w:ascii="宋体" w:hAnsi="宋体"/>
          <w:bCs/>
          <w:color w:val="auto"/>
          <w:szCs w:val="21"/>
          <w:highlight w:val="none"/>
        </w:rPr>
        <w:t>（3）</w:t>
      </w:r>
      <w:r>
        <w:rPr>
          <w:rFonts w:ascii="宋体" w:hAnsi="宋体"/>
          <w:bCs/>
          <w:color w:val="auto"/>
          <w:szCs w:val="21"/>
          <w:highlight w:val="none"/>
        </w:rPr>
        <w:t>符</w:t>
      </w:r>
      <w:r>
        <w:rPr>
          <w:rFonts w:ascii="Calibri" w:hAnsi="宋体"/>
          <w:color w:val="auto"/>
          <w:szCs w:val="21"/>
          <w:highlight w:val="none"/>
        </w:rPr>
        <w:t>合性检查的结果是</w:t>
      </w:r>
      <w:r>
        <w:rPr>
          <w:rFonts w:ascii="Calibri" w:hAnsi="Calibri"/>
          <w:color w:val="auto"/>
          <w:szCs w:val="21"/>
          <w:highlight w:val="none"/>
        </w:rPr>
        <w:t>“</w:t>
      </w:r>
      <w:r>
        <w:rPr>
          <w:rFonts w:ascii="Calibri" w:hAnsi="宋体"/>
          <w:color w:val="auto"/>
          <w:szCs w:val="21"/>
          <w:highlight w:val="none"/>
        </w:rPr>
        <w:t>通过</w:t>
      </w:r>
      <w:r>
        <w:rPr>
          <w:rFonts w:ascii="Calibri" w:hAnsi="Calibri"/>
          <w:color w:val="auto"/>
          <w:szCs w:val="21"/>
          <w:highlight w:val="none"/>
        </w:rPr>
        <w:t>”</w:t>
      </w:r>
      <w:r>
        <w:rPr>
          <w:rFonts w:ascii="Calibri" w:hAnsi="宋体"/>
          <w:color w:val="auto"/>
          <w:szCs w:val="21"/>
          <w:highlight w:val="none"/>
        </w:rPr>
        <w:t>或</w:t>
      </w:r>
      <w:r>
        <w:rPr>
          <w:rFonts w:ascii="Calibri" w:hAnsi="Calibri"/>
          <w:color w:val="auto"/>
          <w:szCs w:val="21"/>
          <w:highlight w:val="none"/>
        </w:rPr>
        <w:t>“</w:t>
      </w:r>
      <w:r>
        <w:rPr>
          <w:rFonts w:ascii="Calibri" w:hAnsi="宋体"/>
          <w:color w:val="auto"/>
          <w:szCs w:val="21"/>
          <w:highlight w:val="none"/>
        </w:rPr>
        <w:t>不通过</w:t>
      </w:r>
      <w:r>
        <w:rPr>
          <w:rFonts w:ascii="Calibri" w:hAnsi="Calibri"/>
          <w:color w:val="auto"/>
          <w:szCs w:val="21"/>
          <w:highlight w:val="none"/>
        </w:rPr>
        <w:t>”</w:t>
      </w:r>
      <w:r>
        <w:rPr>
          <w:rFonts w:ascii="Calibri" w:hAnsi="宋体"/>
          <w:color w:val="auto"/>
          <w:szCs w:val="21"/>
          <w:highlight w:val="none"/>
        </w:rPr>
        <w:t>，只有逐条通过</w:t>
      </w:r>
      <w:r>
        <w:rPr>
          <w:rFonts w:ascii="宋体" w:hAnsi="宋体"/>
          <w:bCs/>
          <w:color w:val="auto"/>
          <w:szCs w:val="21"/>
          <w:highlight w:val="none"/>
        </w:rPr>
        <w:t>《符合性检查表》</w:t>
      </w:r>
      <w:r>
        <w:rPr>
          <w:rFonts w:ascii="Calibri" w:hAnsi="宋体"/>
          <w:color w:val="auto"/>
          <w:szCs w:val="21"/>
          <w:highlight w:val="none"/>
        </w:rPr>
        <w:t>各项检查的投标方能进入下一阶段的评标，否则将导致其投标被废标。</w:t>
      </w:r>
    </w:p>
    <w:p>
      <w:pPr>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2、</w:t>
      </w:r>
      <w:r>
        <w:rPr>
          <w:rFonts w:ascii="宋体" w:hAnsi="宋体"/>
          <w:b/>
          <w:color w:val="auto"/>
          <w:szCs w:val="21"/>
          <w:highlight w:val="none"/>
        </w:rPr>
        <w:t>商务</w:t>
      </w:r>
      <w:r>
        <w:rPr>
          <w:rFonts w:hint="eastAsia" w:ascii="宋体" w:hAnsi="宋体"/>
          <w:b/>
          <w:color w:val="auto"/>
          <w:szCs w:val="21"/>
          <w:highlight w:val="none"/>
        </w:rPr>
        <w:t>、</w:t>
      </w:r>
      <w:r>
        <w:rPr>
          <w:rFonts w:ascii="宋体" w:hAnsi="宋体"/>
          <w:b/>
          <w:color w:val="auto"/>
          <w:szCs w:val="21"/>
          <w:highlight w:val="none"/>
        </w:rPr>
        <w:t>技术及价格评议</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评标委员会根据《</w:t>
      </w:r>
      <w:r>
        <w:rPr>
          <w:rFonts w:hint="eastAsia" w:ascii="宋体" w:hAnsi="宋体"/>
          <w:color w:val="auto"/>
          <w:szCs w:val="21"/>
          <w:highlight w:val="none"/>
        </w:rPr>
        <w:t>评分表</w:t>
      </w:r>
      <w:r>
        <w:rPr>
          <w:rFonts w:ascii="宋体" w:hAnsi="宋体"/>
          <w:color w:val="auto"/>
          <w:szCs w:val="21"/>
          <w:highlight w:val="none"/>
        </w:rPr>
        <w:t>》的内容和标准，对通过</w:t>
      </w:r>
      <w:r>
        <w:rPr>
          <w:rFonts w:hint="eastAsia" w:ascii="宋体" w:hAnsi="宋体"/>
          <w:bCs/>
          <w:color w:val="auto"/>
          <w:szCs w:val="21"/>
          <w:highlight w:val="none"/>
        </w:rPr>
        <w:t>资格性和</w:t>
      </w:r>
      <w:r>
        <w:rPr>
          <w:rFonts w:ascii="宋体" w:hAnsi="宋体"/>
          <w:bCs/>
          <w:color w:val="auto"/>
          <w:szCs w:val="21"/>
          <w:highlight w:val="none"/>
        </w:rPr>
        <w:t>符合性</w:t>
      </w:r>
      <w:r>
        <w:rPr>
          <w:rFonts w:ascii="宋体" w:hAnsi="宋体"/>
          <w:color w:val="auto"/>
          <w:szCs w:val="21"/>
          <w:highlight w:val="none"/>
        </w:rPr>
        <w:t>检查的投标进行商务</w:t>
      </w:r>
      <w:r>
        <w:rPr>
          <w:rFonts w:hint="eastAsia" w:ascii="宋体" w:hAnsi="宋体"/>
          <w:color w:val="auto"/>
          <w:szCs w:val="21"/>
          <w:highlight w:val="none"/>
        </w:rPr>
        <w:t>、</w:t>
      </w:r>
      <w:r>
        <w:rPr>
          <w:rFonts w:ascii="宋体" w:hAnsi="宋体"/>
          <w:color w:val="auto"/>
          <w:szCs w:val="21"/>
          <w:highlight w:val="none"/>
        </w:rPr>
        <w:t>技术</w:t>
      </w:r>
      <w:r>
        <w:rPr>
          <w:rFonts w:hint="eastAsia" w:ascii="宋体" w:hAnsi="宋体"/>
          <w:color w:val="auto"/>
          <w:szCs w:val="21"/>
          <w:highlight w:val="none"/>
        </w:rPr>
        <w:t>及价格</w:t>
      </w:r>
      <w:r>
        <w:rPr>
          <w:rFonts w:ascii="宋体" w:hAnsi="宋体"/>
          <w:color w:val="auto"/>
          <w:szCs w:val="21"/>
          <w:highlight w:val="none"/>
        </w:rPr>
        <w:t>评议。</w:t>
      </w:r>
    </w:p>
    <w:p>
      <w:pPr>
        <w:spacing w:line="360" w:lineRule="exact"/>
        <w:ind w:firstLine="420" w:firstLineChars="200"/>
        <w:rPr>
          <w:rFonts w:ascii="Calibri" w:hAnsi="Calibri"/>
          <w:color w:val="auto"/>
          <w:szCs w:val="21"/>
          <w:highlight w:val="none"/>
        </w:rPr>
      </w:pPr>
      <w:r>
        <w:rPr>
          <w:rFonts w:hint="eastAsia" w:ascii="宋体" w:hAnsi="宋体"/>
          <w:color w:val="auto"/>
          <w:szCs w:val="21"/>
          <w:highlight w:val="none"/>
        </w:rPr>
        <w:t>（2）</w:t>
      </w:r>
      <w:r>
        <w:rPr>
          <w:rFonts w:ascii="宋体" w:hAnsi="宋体"/>
          <w:color w:val="auto"/>
          <w:szCs w:val="21"/>
          <w:highlight w:val="none"/>
        </w:rPr>
        <w:t>评</w:t>
      </w:r>
      <w:r>
        <w:rPr>
          <w:rFonts w:ascii="Calibri" w:hAnsi="宋体"/>
          <w:color w:val="auto"/>
          <w:szCs w:val="21"/>
          <w:highlight w:val="none"/>
        </w:rPr>
        <w:t>标委员会将对照招标文件中的商务、技术需求条款和投标文件中的商务、技术条款响应进行评议。评标委员会成员将按照《</w:t>
      </w:r>
      <w:r>
        <w:rPr>
          <w:rFonts w:hint="eastAsia" w:ascii="Calibri" w:hAnsi="宋体"/>
          <w:color w:val="auto"/>
          <w:szCs w:val="21"/>
          <w:highlight w:val="none"/>
        </w:rPr>
        <w:t>评分表</w:t>
      </w:r>
      <w:r>
        <w:rPr>
          <w:rFonts w:ascii="Calibri" w:hAnsi="宋体"/>
          <w:color w:val="auto"/>
          <w:szCs w:val="21"/>
          <w:highlight w:val="none"/>
        </w:rPr>
        <w:t>》确定的</w:t>
      </w:r>
      <w:r>
        <w:rPr>
          <w:rFonts w:hint="eastAsia" w:ascii="Calibri" w:hAnsi="宋体"/>
          <w:color w:val="auto"/>
          <w:szCs w:val="21"/>
          <w:highlight w:val="none"/>
        </w:rPr>
        <w:t>分值</w:t>
      </w:r>
      <w:r>
        <w:rPr>
          <w:rFonts w:ascii="Calibri" w:hAnsi="宋体"/>
          <w:color w:val="auto"/>
          <w:szCs w:val="21"/>
          <w:highlight w:val="none"/>
        </w:rPr>
        <w:t>独立对每个投标的商务</w:t>
      </w:r>
      <w:r>
        <w:rPr>
          <w:rFonts w:hint="eastAsia" w:ascii="Calibri" w:hAnsi="宋体"/>
          <w:color w:val="auto"/>
          <w:szCs w:val="21"/>
          <w:highlight w:val="none"/>
        </w:rPr>
        <w:t>、</w:t>
      </w:r>
      <w:r>
        <w:rPr>
          <w:rFonts w:ascii="Calibri" w:hAnsi="宋体"/>
          <w:color w:val="auto"/>
          <w:szCs w:val="21"/>
          <w:highlight w:val="none"/>
        </w:rPr>
        <w:t>技术</w:t>
      </w:r>
      <w:r>
        <w:rPr>
          <w:rFonts w:hint="eastAsia" w:ascii="Calibri" w:hAnsi="宋体"/>
          <w:color w:val="auto"/>
          <w:szCs w:val="21"/>
          <w:highlight w:val="none"/>
        </w:rPr>
        <w:t>及价格</w:t>
      </w:r>
      <w:r>
        <w:rPr>
          <w:rFonts w:ascii="Calibri" w:hAnsi="宋体"/>
          <w:color w:val="auto"/>
          <w:szCs w:val="21"/>
          <w:highlight w:val="none"/>
        </w:rPr>
        <w:t>部分以打分的方式进行评议。</w:t>
      </w:r>
    </w:p>
    <w:p>
      <w:pPr>
        <w:spacing w:line="360" w:lineRule="exact"/>
        <w:ind w:firstLine="422" w:firstLineChars="200"/>
        <w:rPr>
          <w:rFonts w:ascii="Calibri" w:hAnsi="Calibri"/>
          <w:b/>
          <w:color w:val="auto"/>
          <w:szCs w:val="21"/>
          <w:highlight w:val="none"/>
        </w:rPr>
      </w:pPr>
      <w:r>
        <w:rPr>
          <w:rFonts w:hint="eastAsia" w:ascii="宋体" w:hAnsi="宋体"/>
          <w:b/>
          <w:color w:val="auto"/>
          <w:szCs w:val="21"/>
          <w:highlight w:val="none"/>
        </w:rPr>
        <w:t>3、</w:t>
      </w:r>
      <w:r>
        <w:rPr>
          <w:rFonts w:ascii="Calibri" w:hAnsi="宋体"/>
          <w:b/>
          <w:color w:val="auto"/>
          <w:szCs w:val="21"/>
          <w:highlight w:val="none"/>
        </w:rPr>
        <w:t>中标人的确定</w:t>
      </w:r>
    </w:p>
    <w:p>
      <w:pPr>
        <w:spacing w:line="360" w:lineRule="exact"/>
        <w:ind w:firstLine="420" w:firstLineChars="200"/>
        <w:rPr>
          <w:rFonts w:ascii="Calibri" w:hAnsi="Calibri"/>
          <w:color w:val="auto"/>
          <w:szCs w:val="21"/>
          <w:highlight w:val="none"/>
        </w:rPr>
      </w:pPr>
      <w:r>
        <w:rPr>
          <w:rFonts w:hint="eastAsia" w:ascii="宋体" w:hAnsi="宋体"/>
          <w:bCs/>
          <w:color w:val="auto"/>
          <w:szCs w:val="21"/>
          <w:highlight w:val="none"/>
        </w:rPr>
        <w:t>（1）采购方授权评标委员会确定中标单位，每个投标单位的评标总得分以</w:t>
      </w:r>
      <w:r>
        <w:rPr>
          <w:rFonts w:ascii="宋体" w:hAnsi="宋体"/>
          <w:color w:val="auto"/>
          <w:szCs w:val="21"/>
          <w:highlight w:val="none"/>
        </w:rPr>
        <w:t>所有评标委员会成员的独立评分</w:t>
      </w:r>
      <w:r>
        <w:rPr>
          <w:rFonts w:hint="eastAsia" w:ascii="宋体" w:hAnsi="宋体"/>
          <w:color w:val="auto"/>
          <w:szCs w:val="21"/>
          <w:highlight w:val="none"/>
        </w:rPr>
        <w:t>汇总</w:t>
      </w:r>
      <w:r>
        <w:rPr>
          <w:rFonts w:hint="eastAsia" w:ascii="宋体" w:hAnsi="宋体"/>
          <w:bCs/>
          <w:color w:val="auto"/>
          <w:szCs w:val="21"/>
          <w:highlight w:val="none"/>
        </w:rPr>
        <w:t>后确定，以评标总得分最高的投标人为中标人。</w:t>
      </w:r>
    </w:p>
    <w:p>
      <w:pPr>
        <w:spacing w:line="360" w:lineRule="exact"/>
        <w:ind w:firstLine="420"/>
        <w:rPr>
          <w:rFonts w:ascii="宋体" w:hAnsi="宋体"/>
          <w:b/>
          <w:bCs/>
          <w:color w:val="auto"/>
          <w:szCs w:val="21"/>
          <w:highlight w:val="none"/>
        </w:rPr>
      </w:pPr>
      <w:r>
        <w:rPr>
          <w:rFonts w:hint="eastAsia" w:ascii="宋体" w:hAnsi="宋体"/>
          <w:color w:val="auto"/>
          <w:szCs w:val="21"/>
          <w:highlight w:val="none"/>
        </w:rPr>
        <w:t>（2）</w:t>
      </w:r>
      <w:r>
        <w:rPr>
          <w:rFonts w:ascii="Calibri" w:hAnsi="宋体"/>
          <w:color w:val="auto"/>
          <w:szCs w:val="21"/>
          <w:highlight w:val="none"/>
        </w:rPr>
        <w:t>评标总得分相同的，按投标报价由低到高顺序排列；评标总得分且投标报价相同的，按技术指标</w:t>
      </w:r>
      <w:r>
        <w:rPr>
          <w:rFonts w:hint="eastAsia" w:ascii="Calibri" w:hAnsi="宋体"/>
          <w:color w:val="auto"/>
          <w:szCs w:val="21"/>
          <w:highlight w:val="none"/>
        </w:rPr>
        <w:t>（技术部分）</w:t>
      </w:r>
      <w:r>
        <w:rPr>
          <w:rFonts w:ascii="Calibri" w:hAnsi="宋体"/>
          <w:color w:val="auto"/>
          <w:szCs w:val="21"/>
          <w:highlight w:val="none"/>
        </w:rPr>
        <w:t>得分优劣顺序排列</w:t>
      </w:r>
      <w:r>
        <w:rPr>
          <w:rFonts w:hint="eastAsia" w:ascii="Calibri" w:hAnsi="宋体"/>
          <w:color w:val="auto"/>
          <w:szCs w:val="21"/>
          <w:highlight w:val="none"/>
        </w:rPr>
        <w:t>；如</w:t>
      </w:r>
      <w:r>
        <w:rPr>
          <w:rFonts w:ascii="Calibri" w:hAnsi="宋体"/>
          <w:color w:val="auto"/>
          <w:szCs w:val="21"/>
          <w:highlight w:val="none"/>
        </w:rPr>
        <w:t>技术指标</w:t>
      </w:r>
      <w:r>
        <w:rPr>
          <w:rFonts w:hint="eastAsia" w:ascii="Calibri" w:hAnsi="宋体"/>
          <w:color w:val="auto"/>
          <w:szCs w:val="21"/>
          <w:highlight w:val="none"/>
        </w:rPr>
        <w:t>（技术部分）</w:t>
      </w:r>
      <w:r>
        <w:rPr>
          <w:rFonts w:ascii="Calibri" w:hAnsi="宋体"/>
          <w:color w:val="auto"/>
          <w:szCs w:val="21"/>
          <w:highlight w:val="none"/>
        </w:rPr>
        <w:t>得分</w:t>
      </w:r>
      <w:r>
        <w:rPr>
          <w:rFonts w:hint="eastAsia" w:ascii="Calibri" w:hAnsi="宋体"/>
          <w:color w:val="auto"/>
          <w:szCs w:val="21"/>
          <w:highlight w:val="none"/>
        </w:rPr>
        <w:t>仍然相同的，则采用抽签方式确定排序</w:t>
      </w:r>
      <w:r>
        <w:rPr>
          <w:rFonts w:ascii="Calibri" w:hAnsi="宋体"/>
          <w:color w:val="auto"/>
          <w:szCs w:val="21"/>
          <w:highlight w:val="none"/>
        </w:rPr>
        <w:t>。</w:t>
      </w:r>
    </w:p>
    <w:p>
      <w:pPr>
        <w:pStyle w:val="61"/>
        <w:numPr>
          <w:ilvl w:val="0"/>
          <w:numId w:val="1"/>
        </w:numPr>
        <w:spacing w:line="360" w:lineRule="exact"/>
        <w:ind w:firstLineChars="0"/>
        <w:rPr>
          <w:rFonts w:ascii="宋体" w:hAnsi="宋体"/>
          <w:b/>
          <w:color w:val="auto"/>
          <w:szCs w:val="21"/>
          <w:highlight w:val="none"/>
        </w:rPr>
      </w:pPr>
      <w:r>
        <w:rPr>
          <w:b/>
          <w:color w:val="auto"/>
          <w:szCs w:val="21"/>
          <w:highlight w:val="none"/>
        </w:rPr>
        <w:t>最低价法</w:t>
      </w:r>
    </w:p>
    <w:p>
      <w:pPr>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1、</w:t>
      </w:r>
      <w:r>
        <w:rPr>
          <w:rFonts w:ascii="宋体" w:hAnsi="宋体"/>
          <w:b/>
          <w:color w:val="auto"/>
          <w:szCs w:val="21"/>
          <w:highlight w:val="none"/>
        </w:rPr>
        <w:t>符合性检查</w:t>
      </w:r>
    </w:p>
    <w:p>
      <w:pPr>
        <w:spacing w:line="360" w:lineRule="exact"/>
        <w:ind w:firstLine="420" w:firstLineChars="200"/>
        <w:rPr>
          <w:rFonts w:ascii="宋体" w:hAnsi="宋体"/>
          <w:bCs/>
          <w:color w:val="auto"/>
          <w:szCs w:val="21"/>
          <w:highlight w:val="none"/>
        </w:rPr>
      </w:pPr>
      <w:r>
        <w:rPr>
          <w:rFonts w:hint="eastAsia" w:ascii="宋体" w:hAnsi="宋体"/>
          <w:bCs/>
          <w:color w:val="auto"/>
          <w:szCs w:val="21"/>
          <w:highlight w:val="none"/>
        </w:rPr>
        <w:t>（1）</w:t>
      </w:r>
      <w:r>
        <w:rPr>
          <w:rFonts w:ascii="宋体" w:hAnsi="宋体"/>
          <w:bCs/>
          <w:color w:val="auto"/>
          <w:szCs w:val="21"/>
          <w:highlight w:val="none"/>
        </w:rPr>
        <w:t>评标委员会根据</w:t>
      </w:r>
      <w:r>
        <w:rPr>
          <w:rFonts w:hint="eastAsia" w:ascii="宋体" w:hAnsi="宋体"/>
          <w:bCs/>
          <w:color w:val="auto"/>
          <w:szCs w:val="21"/>
          <w:highlight w:val="none"/>
        </w:rPr>
        <w:t>《</w:t>
      </w:r>
      <w:r>
        <w:rPr>
          <w:rFonts w:ascii="宋体" w:hAnsi="宋体"/>
          <w:bCs/>
          <w:color w:val="auto"/>
          <w:szCs w:val="21"/>
          <w:highlight w:val="none"/>
        </w:rPr>
        <w:t>符合性检查表》的内容和标准，对所有</w:t>
      </w:r>
      <w:r>
        <w:rPr>
          <w:rFonts w:hint="eastAsia" w:ascii="宋体" w:hAnsi="宋体"/>
          <w:bCs/>
          <w:color w:val="auto"/>
          <w:szCs w:val="21"/>
          <w:highlight w:val="none"/>
        </w:rPr>
        <w:t>通过资格性核查的</w:t>
      </w:r>
      <w:r>
        <w:rPr>
          <w:rFonts w:ascii="宋体" w:hAnsi="宋体"/>
          <w:bCs/>
          <w:color w:val="auto"/>
          <w:szCs w:val="21"/>
          <w:highlight w:val="none"/>
        </w:rPr>
        <w:t>投标</w:t>
      </w:r>
      <w:r>
        <w:rPr>
          <w:rFonts w:hint="eastAsia" w:ascii="宋体" w:hAnsi="宋体"/>
          <w:bCs/>
          <w:color w:val="auto"/>
          <w:szCs w:val="21"/>
          <w:highlight w:val="none"/>
        </w:rPr>
        <w:t>文件</w:t>
      </w:r>
      <w:r>
        <w:rPr>
          <w:rFonts w:ascii="宋体" w:hAnsi="宋体"/>
          <w:bCs/>
          <w:color w:val="auto"/>
          <w:szCs w:val="21"/>
          <w:highlight w:val="none"/>
        </w:rPr>
        <w:t>进行</w:t>
      </w:r>
      <w:r>
        <w:rPr>
          <w:rFonts w:hint="eastAsia" w:ascii="宋体" w:hAnsi="宋体"/>
          <w:bCs/>
          <w:color w:val="auto"/>
          <w:szCs w:val="21"/>
          <w:highlight w:val="none"/>
        </w:rPr>
        <w:t>审</w:t>
      </w:r>
      <w:r>
        <w:rPr>
          <w:rFonts w:ascii="宋体" w:hAnsi="宋体"/>
          <w:bCs/>
          <w:color w:val="auto"/>
          <w:szCs w:val="21"/>
          <w:highlight w:val="none"/>
        </w:rPr>
        <w:t>查。</w:t>
      </w:r>
    </w:p>
    <w:p>
      <w:pPr>
        <w:spacing w:line="360" w:lineRule="exact"/>
        <w:ind w:firstLine="420" w:firstLineChars="200"/>
        <w:rPr>
          <w:rFonts w:ascii="宋体" w:hAnsi="宋体"/>
          <w:bCs/>
          <w:color w:val="auto"/>
          <w:szCs w:val="21"/>
          <w:highlight w:val="none"/>
        </w:rPr>
      </w:pPr>
      <w:r>
        <w:rPr>
          <w:rFonts w:hint="eastAsia" w:ascii="宋体" w:hAnsi="宋体"/>
          <w:bCs/>
          <w:color w:val="auto"/>
          <w:szCs w:val="21"/>
          <w:highlight w:val="none"/>
        </w:rPr>
        <w:t>（2）</w:t>
      </w:r>
      <w:r>
        <w:rPr>
          <w:rFonts w:ascii="宋体" w:hAnsi="宋体"/>
          <w:bCs/>
          <w:color w:val="auto"/>
          <w:szCs w:val="21"/>
          <w:highlight w:val="none"/>
        </w:rPr>
        <w:t>符合性检查的对象是投标人提交的投标文件，评标委员会只就投标文件中所载明的情况进行</w:t>
      </w:r>
      <w:r>
        <w:rPr>
          <w:rFonts w:hint="eastAsia" w:ascii="宋体" w:hAnsi="宋体"/>
          <w:bCs/>
          <w:color w:val="auto"/>
          <w:szCs w:val="21"/>
          <w:highlight w:val="none"/>
        </w:rPr>
        <w:t>审</w:t>
      </w:r>
      <w:r>
        <w:rPr>
          <w:rFonts w:ascii="宋体" w:hAnsi="宋体"/>
          <w:bCs/>
          <w:color w:val="auto"/>
          <w:szCs w:val="21"/>
          <w:highlight w:val="none"/>
        </w:rPr>
        <w:t>查。</w:t>
      </w:r>
    </w:p>
    <w:p>
      <w:pPr>
        <w:spacing w:line="360" w:lineRule="exact"/>
        <w:ind w:firstLine="420" w:firstLineChars="200"/>
        <w:rPr>
          <w:rFonts w:ascii="Calibri" w:hAnsi="Calibri"/>
          <w:color w:val="auto"/>
          <w:szCs w:val="21"/>
          <w:highlight w:val="none"/>
        </w:rPr>
      </w:pPr>
      <w:r>
        <w:rPr>
          <w:rFonts w:hint="eastAsia" w:ascii="宋体" w:hAnsi="宋体"/>
          <w:bCs/>
          <w:color w:val="auto"/>
          <w:szCs w:val="21"/>
          <w:highlight w:val="none"/>
        </w:rPr>
        <w:t>（3）</w:t>
      </w:r>
      <w:r>
        <w:rPr>
          <w:rFonts w:ascii="宋体" w:hAnsi="宋体"/>
          <w:bCs/>
          <w:color w:val="auto"/>
          <w:szCs w:val="21"/>
          <w:highlight w:val="none"/>
        </w:rPr>
        <w:t>符</w:t>
      </w:r>
      <w:r>
        <w:rPr>
          <w:rFonts w:ascii="Calibri" w:hAnsi="宋体"/>
          <w:color w:val="auto"/>
          <w:szCs w:val="21"/>
          <w:highlight w:val="none"/>
        </w:rPr>
        <w:t>合性检查的结果是</w:t>
      </w:r>
      <w:r>
        <w:rPr>
          <w:rFonts w:ascii="Calibri" w:hAnsi="Calibri"/>
          <w:color w:val="auto"/>
          <w:szCs w:val="21"/>
          <w:highlight w:val="none"/>
        </w:rPr>
        <w:t>“</w:t>
      </w:r>
      <w:r>
        <w:rPr>
          <w:rFonts w:ascii="Calibri" w:hAnsi="宋体"/>
          <w:color w:val="auto"/>
          <w:szCs w:val="21"/>
          <w:highlight w:val="none"/>
        </w:rPr>
        <w:t>通过</w:t>
      </w:r>
      <w:r>
        <w:rPr>
          <w:rFonts w:ascii="Calibri" w:hAnsi="Calibri"/>
          <w:color w:val="auto"/>
          <w:szCs w:val="21"/>
          <w:highlight w:val="none"/>
        </w:rPr>
        <w:t>”</w:t>
      </w:r>
      <w:r>
        <w:rPr>
          <w:rFonts w:ascii="Calibri" w:hAnsi="宋体"/>
          <w:color w:val="auto"/>
          <w:szCs w:val="21"/>
          <w:highlight w:val="none"/>
        </w:rPr>
        <w:t>或</w:t>
      </w:r>
      <w:r>
        <w:rPr>
          <w:rFonts w:ascii="Calibri" w:hAnsi="Calibri"/>
          <w:color w:val="auto"/>
          <w:szCs w:val="21"/>
          <w:highlight w:val="none"/>
        </w:rPr>
        <w:t>“</w:t>
      </w:r>
      <w:r>
        <w:rPr>
          <w:rFonts w:ascii="Calibri" w:hAnsi="宋体"/>
          <w:color w:val="auto"/>
          <w:szCs w:val="21"/>
          <w:highlight w:val="none"/>
        </w:rPr>
        <w:t>不通过</w:t>
      </w:r>
      <w:r>
        <w:rPr>
          <w:rFonts w:ascii="Calibri" w:hAnsi="Calibri"/>
          <w:color w:val="auto"/>
          <w:szCs w:val="21"/>
          <w:highlight w:val="none"/>
        </w:rPr>
        <w:t>”</w:t>
      </w:r>
      <w:r>
        <w:rPr>
          <w:rFonts w:ascii="Calibri" w:hAnsi="宋体"/>
          <w:color w:val="auto"/>
          <w:szCs w:val="21"/>
          <w:highlight w:val="none"/>
        </w:rPr>
        <w:t>，只有逐条通过</w:t>
      </w:r>
      <w:r>
        <w:rPr>
          <w:rFonts w:ascii="宋体" w:hAnsi="宋体"/>
          <w:bCs/>
          <w:color w:val="auto"/>
          <w:szCs w:val="21"/>
          <w:highlight w:val="none"/>
        </w:rPr>
        <w:t>《符合性检查表》</w:t>
      </w:r>
      <w:r>
        <w:rPr>
          <w:rFonts w:ascii="Calibri" w:hAnsi="宋体"/>
          <w:color w:val="auto"/>
          <w:szCs w:val="21"/>
          <w:highlight w:val="none"/>
        </w:rPr>
        <w:t>各项检查的投标方能进入下一阶段的评标，否则将导致其投标被废标。</w:t>
      </w:r>
    </w:p>
    <w:p>
      <w:pPr>
        <w:spacing w:line="360" w:lineRule="exact"/>
        <w:ind w:firstLine="422" w:firstLineChars="200"/>
        <w:rPr>
          <w:rFonts w:ascii="Calibri" w:hAnsi="Calibri"/>
          <w:b/>
          <w:color w:val="auto"/>
          <w:szCs w:val="21"/>
          <w:highlight w:val="none"/>
        </w:rPr>
      </w:pPr>
      <w:r>
        <w:rPr>
          <w:rFonts w:hint="eastAsia" w:ascii="宋体" w:hAnsi="宋体"/>
          <w:b/>
          <w:color w:val="auto"/>
          <w:szCs w:val="21"/>
          <w:highlight w:val="none"/>
        </w:rPr>
        <w:t>2、</w:t>
      </w:r>
      <w:r>
        <w:rPr>
          <w:rFonts w:ascii="Calibri" w:hAnsi="宋体"/>
          <w:b/>
          <w:color w:val="auto"/>
          <w:szCs w:val="21"/>
          <w:highlight w:val="none"/>
        </w:rPr>
        <w:t>中标人的确定</w:t>
      </w:r>
    </w:p>
    <w:p>
      <w:pPr>
        <w:spacing w:line="360" w:lineRule="exact"/>
        <w:ind w:firstLine="435"/>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采购方授权评标委员会确定中标单位，评标委员会对通过上述检查且最终报价不超过预算控制金额</w:t>
      </w:r>
      <w:r>
        <w:rPr>
          <w:rFonts w:hint="eastAsia" w:ascii="宋体" w:hAnsi="宋体"/>
          <w:color w:val="auto"/>
          <w:szCs w:val="21"/>
          <w:highlight w:val="none"/>
        </w:rPr>
        <w:t>的投标单位进行审查，确定</w:t>
      </w:r>
      <w:r>
        <w:rPr>
          <w:rFonts w:ascii="宋体" w:hAnsi="宋体"/>
          <w:color w:val="auto"/>
          <w:szCs w:val="21"/>
          <w:highlight w:val="none"/>
        </w:rPr>
        <w:t>满足招标文件实质性要求</w:t>
      </w:r>
      <w:r>
        <w:rPr>
          <w:rFonts w:hint="eastAsia" w:ascii="宋体" w:hAnsi="宋体"/>
          <w:color w:val="auto"/>
          <w:szCs w:val="21"/>
          <w:highlight w:val="none"/>
        </w:rPr>
        <w:t>、且</w:t>
      </w:r>
      <w:r>
        <w:rPr>
          <w:rFonts w:ascii="宋体" w:hAnsi="宋体"/>
          <w:color w:val="auto"/>
          <w:szCs w:val="21"/>
          <w:highlight w:val="none"/>
        </w:rPr>
        <w:t>投标的价格最低的投标供应商为中标人</w:t>
      </w:r>
      <w:r>
        <w:rPr>
          <w:rFonts w:hint="eastAsia" w:ascii="宋体" w:hAnsi="宋体"/>
          <w:color w:val="auto"/>
          <w:szCs w:val="21"/>
          <w:highlight w:val="none"/>
        </w:rPr>
        <w:t>。</w:t>
      </w:r>
    </w:p>
    <w:p>
      <w:pPr>
        <w:spacing w:line="360" w:lineRule="exact"/>
        <w:ind w:firstLine="435"/>
        <w:rPr>
          <w:rFonts w:ascii="宋体" w:hAnsi="宋体"/>
          <w:b/>
          <w:bCs/>
          <w:color w:val="auto"/>
          <w:szCs w:val="21"/>
          <w:highlight w:val="none"/>
        </w:rPr>
      </w:pPr>
      <w:r>
        <w:rPr>
          <w:rFonts w:hint="eastAsia" w:ascii="宋体" w:hAnsi="宋体"/>
          <w:color w:val="auto"/>
          <w:szCs w:val="21"/>
          <w:highlight w:val="none"/>
        </w:rPr>
        <w:t>（2）</w:t>
      </w:r>
      <w:r>
        <w:rPr>
          <w:rFonts w:ascii="宋体" w:hAnsi="宋体"/>
          <w:color w:val="auto"/>
          <w:szCs w:val="21"/>
          <w:highlight w:val="none"/>
        </w:rPr>
        <w:t>确</w:t>
      </w:r>
      <w:r>
        <w:rPr>
          <w:rFonts w:ascii="Calibri" w:hAnsi="宋体"/>
          <w:color w:val="auto"/>
          <w:szCs w:val="21"/>
          <w:highlight w:val="none"/>
        </w:rPr>
        <w:t>定中标人按投标报价由低到高顺序排列</w:t>
      </w:r>
      <w:r>
        <w:rPr>
          <w:rFonts w:hint="eastAsia" w:ascii="Calibri" w:hAnsi="宋体"/>
          <w:color w:val="auto"/>
          <w:szCs w:val="21"/>
          <w:highlight w:val="none"/>
        </w:rPr>
        <w:t>。</w:t>
      </w:r>
      <w:r>
        <w:rPr>
          <w:rFonts w:ascii="Calibri" w:hAnsi="宋体"/>
          <w:color w:val="auto"/>
          <w:szCs w:val="21"/>
          <w:highlight w:val="none"/>
        </w:rPr>
        <w:t>投标报价相同的，按技术指标优劣顺序排列</w:t>
      </w:r>
      <w:r>
        <w:rPr>
          <w:rFonts w:hint="eastAsia" w:ascii="Calibri" w:hAnsi="宋体"/>
          <w:color w:val="auto"/>
          <w:szCs w:val="21"/>
          <w:highlight w:val="none"/>
        </w:rPr>
        <w:t>；技术指标仍然相同的，则采用抽签方式确定排序</w:t>
      </w:r>
      <w:r>
        <w:rPr>
          <w:rFonts w:ascii="Calibri" w:hAnsi="宋体"/>
          <w:color w:val="auto"/>
          <w:szCs w:val="21"/>
          <w:highlight w:val="none"/>
        </w:rPr>
        <w:t>。</w:t>
      </w:r>
      <w:r>
        <w:rPr>
          <w:rFonts w:hint="eastAsia" w:ascii="Calibri" w:hAnsi="宋体"/>
          <w:color w:val="auto"/>
          <w:szCs w:val="21"/>
          <w:highlight w:val="none"/>
        </w:rPr>
        <w:t>评标委员会认为排在前面的供应商的最低投标报价或者某些分项报价明显不合理或者低于成本，有可能影响商品质量和不能诚信履约的，应当要求其在规定的期限内提供书面文件予以解释说明，并提交相关证明材料；否则，评标委员会可以取消该投标供应商的中标资格，按顺序由排在后面的供应商递补，以次类推。对是否满足实质性要求或报价是否合理或是否低于成本，评标委员会意见不一致时，按少数服从多数原则作出决定。</w:t>
      </w:r>
      <w:r>
        <w:rPr>
          <w:rFonts w:hint="eastAsia" w:ascii="宋体" w:hAnsi="宋体"/>
          <w:b/>
          <w:bCs/>
          <w:color w:val="auto"/>
          <w:szCs w:val="21"/>
          <w:highlight w:val="none"/>
        </w:rPr>
        <w:t>根据《深圳市财政委员会关于加强招投标评审环节诚信管理的通知》(深财购[2013]27号)及《深圳市财政委员会关于印发&lt;深圳市政府采购供应商诚信管理暂行办法操作细则&gt;的通知(深财购[2017]42号)》文的要求，投标人在参与政府采购活动中存在诚信相关问题且在主管部门相关处理措施实施期限内的，在该企业投标报价的基础上上浮10%后参与价格评比。投标人无需提供任何证明材料，由本项目评审委员会在评标时通过深圳市政府采购网系统查询。</w:t>
      </w:r>
    </w:p>
    <w:p>
      <w:pPr>
        <w:spacing w:line="360" w:lineRule="exact"/>
        <w:rPr>
          <w:b/>
          <w:color w:val="auto"/>
          <w:highlight w:val="none"/>
        </w:rPr>
      </w:pPr>
      <w:r>
        <w:rPr>
          <w:rFonts w:hint="eastAsia"/>
          <w:b/>
          <w:color w:val="auto"/>
          <w:highlight w:val="none"/>
        </w:rPr>
        <w:t xml:space="preserve">    （二）评标和定标分离的方式</w:t>
      </w:r>
    </w:p>
    <w:p>
      <w:pPr>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1、</w:t>
      </w:r>
      <w:r>
        <w:rPr>
          <w:rFonts w:ascii="宋体" w:hAnsi="宋体"/>
          <w:b/>
          <w:color w:val="auto"/>
          <w:szCs w:val="21"/>
          <w:highlight w:val="none"/>
        </w:rPr>
        <w:t>符合性检查</w:t>
      </w:r>
    </w:p>
    <w:p>
      <w:pPr>
        <w:spacing w:line="360" w:lineRule="exact"/>
        <w:ind w:firstLine="420" w:firstLineChars="200"/>
        <w:rPr>
          <w:rFonts w:ascii="宋体" w:hAnsi="宋体"/>
          <w:bCs/>
          <w:color w:val="auto"/>
          <w:szCs w:val="21"/>
          <w:highlight w:val="none"/>
        </w:rPr>
      </w:pPr>
      <w:r>
        <w:rPr>
          <w:rFonts w:hint="eastAsia" w:ascii="宋体" w:hAnsi="宋体"/>
          <w:bCs/>
          <w:color w:val="auto"/>
          <w:szCs w:val="21"/>
          <w:highlight w:val="none"/>
        </w:rPr>
        <w:t>（1）</w:t>
      </w:r>
      <w:r>
        <w:rPr>
          <w:rFonts w:ascii="宋体" w:hAnsi="宋体"/>
          <w:bCs/>
          <w:color w:val="auto"/>
          <w:szCs w:val="21"/>
          <w:highlight w:val="none"/>
        </w:rPr>
        <w:t>评标委员会根据</w:t>
      </w:r>
      <w:r>
        <w:rPr>
          <w:rFonts w:hint="eastAsia" w:ascii="宋体" w:hAnsi="宋体"/>
          <w:bCs/>
          <w:color w:val="auto"/>
          <w:szCs w:val="21"/>
          <w:highlight w:val="none"/>
        </w:rPr>
        <w:t>《</w:t>
      </w:r>
      <w:r>
        <w:rPr>
          <w:rFonts w:ascii="宋体" w:hAnsi="宋体"/>
          <w:bCs/>
          <w:color w:val="auto"/>
          <w:szCs w:val="21"/>
          <w:highlight w:val="none"/>
        </w:rPr>
        <w:t>符合性检查表》的内容和标准，对所有</w:t>
      </w:r>
      <w:r>
        <w:rPr>
          <w:rFonts w:hint="eastAsia" w:ascii="宋体" w:hAnsi="宋体"/>
          <w:bCs/>
          <w:color w:val="auto"/>
          <w:szCs w:val="21"/>
          <w:highlight w:val="none"/>
        </w:rPr>
        <w:t>通过资格性核查的</w:t>
      </w:r>
      <w:r>
        <w:rPr>
          <w:rFonts w:ascii="宋体" w:hAnsi="宋体"/>
          <w:bCs/>
          <w:color w:val="auto"/>
          <w:szCs w:val="21"/>
          <w:highlight w:val="none"/>
        </w:rPr>
        <w:t>投标</w:t>
      </w:r>
      <w:r>
        <w:rPr>
          <w:rFonts w:hint="eastAsia" w:ascii="宋体" w:hAnsi="宋体"/>
          <w:bCs/>
          <w:color w:val="auto"/>
          <w:szCs w:val="21"/>
          <w:highlight w:val="none"/>
        </w:rPr>
        <w:t>文件</w:t>
      </w:r>
      <w:r>
        <w:rPr>
          <w:rFonts w:ascii="宋体" w:hAnsi="宋体"/>
          <w:bCs/>
          <w:color w:val="auto"/>
          <w:szCs w:val="21"/>
          <w:highlight w:val="none"/>
        </w:rPr>
        <w:t>进行</w:t>
      </w:r>
      <w:r>
        <w:rPr>
          <w:rFonts w:hint="eastAsia" w:ascii="宋体" w:hAnsi="宋体"/>
          <w:bCs/>
          <w:color w:val="auto"/>
          <w:szCs w:val="21"/>
          <w:highlight w:val="none"/>
        </w:rPr>
        <w:t>审</w:t>
      </w:r>
      <w:r>
        <w:rPr>
          <w:rFonts w:ascii="宋体" w:hAnsi="宋体"/>
          <w:bCs/>
          <w:color w:val="auto"/>
          <w:szCs w:val="21"/>
          <w:highlight w:val="none"/>
        </w:rPr>
        <w:t>查。</w:t>
      </w:r>
    </w:p>
    <w:p>
      <w:pPr>
        <w:spacing w:line="360" w:lineRule="exact"/>
        <w:ind w:firstLine="420" w:firstLineChars="200"/>
        <w:rPr>
          <w:rFonts w:ascii="宋体" w:hAnsi="宋体"/>
          <w:bCs/>
          <w:color w:val="auto"/>
          <w:szCs w:val="21"/>
          <w:highlight w:val="none"/>
        </w:rPr>
      </w:pPr>
      <w:r>
        <w:rPr>
          <w:rFonts w:hint="eastAsia" w:ascii="宋体" w:hAnsi="宋体"/>
          <w:bCs/>
          <w:color w:val="auto"/>
          <w:szCs w:val="21"/>
          <w:highlight w:val="none"/>
        </w:rPr>
        <w:t>（2）</w:t>
      </w:r>
      <w:r>
        <w:rPr>
          <w:rFonts w:ascii="宋体" w:hAnsi="宋体"/>
          <w:bCs/>
          <w:color w:val="auto"/>
          <w:szCs w:val="21"/>
          <w:highlight w:val="none"/>
        </w:rPr>
        <w:t>符合性检查的对象是投标人提交的投标文件，评标委员会只就投标文件中所载明的情况进行</w:t>
      </w:r>
      <w:r>
        <w:rPr>
          <w:rFonts w:hint="eastAsia" w:ascii="宋体" w:hAnsi="宋体"/>
          <w:bCs/>
          <w:color w:val="auto"/>
          <w:szCs w:val="21"/>
          <w:highlight w:val="none"/>
        </w:rPr>
        <w:t>审</w:t>
      </w:r>
      <w:r>
        <w:rPr>
          <w:rFonts w:ascii="宋体" w:hAnsi="宋体"/>
          <w:bCs/>
          <w:color w:val="auto"/>
          <w:szCs w:val="21"/>
          <w:highlight w:val="none"/>
        </w:rPr>
        <w:t>查。</w:t>
      </w:r>
    </w:p>
    <w:p>
      <w:pPr>
        <w:spacing w:line="360" w:lineRule="exact"/>
        <w:ind w:firstLine="420" w:firstLineChars="200"/>
        <w:rPr>
          <w:rFonts w:ascii="Calibri" w:hAnsi="Calibri"/>
          <w:color w:val="auto"/>
          <w:szCs w:val="21"/>
          <w:highlight w:val="none"/>
        </w:rPr>
      </w:pPr>
      <w:r>
        <w:rPr>
          <w:rFonts w:hint="eastAsia" w:ascii="宋体" w:hAnsi="宋体"/>
          <w:bCs/>
          <w:color w:val="auto"/>
          <w:szCs w:val="21"/>
          <w:highlight w:val="none"/>
        </w:rPr>
        <w:t>（3）</w:t>
      </w:r>
      <w:r>
        <w:rPr>
          <w:rFonts w:ascii="宋体" w:hAnsi="宋体"/>
          <w:bCs/>
          <w:color w:val="auto"/>
          <w:szCs w:val="21"/>
          <w:highlight w:val="none"/>
        </w:rPr>
        <w:t>符</w:t>
      </w:r>
      <w:r>
        <w:rPr>
          <w:rFonts w:ascii="Calibri" w:hAnsi="宋体"/>
          <w:color w:val="auto"/>
          <w:szCs w:val="21"/>
          <w:highlight w:val="none"/>
        </w:rPr>
        <w:t>合性检查的结果是</w:t>
      </w:r>
      <w:r>
        <w:rPr>
          <w:rFonts w:ascii="Calibri" w:hAnsi="Calibri"/>
          <w:color w:val="auto"/>
          <w:szCs w:val="21"/>
          <w:highlight w:val="none"/>
        </w:rPr>
        <w:t>“</w:t>
      </w:r>
      <w:r>
        <w:rPr>
          <w:rFonts w:ascii="Calibri" w:hAnsi="宋体"/>
          <w:color w:val="auto"/>
          <w:szCs w:val="21"/>
          <w:highlight w:val="none"/>
        </w:rPr>
        <w:t>通过</w:t>
      </w:r>
      <w:r>
        <w:rPr>
          <w:rFonts w:ascii="Calibri" w:hAnsi="Calibri"/>
          <w:color w:val="auto"/>
          <w:szCs w:val="21"/>
          <w:highlight w:val="none"/>
        </w:rPr>
        <w:t>”</w:t>
      </w:r>
      <w:r>
        <w:rPr>
          <w:rFonts w:ascii="Calibri" w:hAnsi="宋体"/>
          <w:color w:val="auto"/>
          <w:szCs w:val="21"/>
          <w:highlight w:val="none"/>
        </w:rPr>
        <w:t>或</w:t>
      </w:r>
      <w:r>
        <w:rPr>
          <w:rFonts w:ascii="Calibri" w:hAnsi="Calibri"/>
          <w:color w:val="auto"/>
          <w:szCs w:val="21"/>
          <w:highlight w:val="none"/>
        </w:rPr>
        <w:t>“</w:t>
      </w:r>
      <w:r>
        <w:rPr>
          <w:rFonts w:ascii="Calibri" w:hAnsi="宋体"/>
          <w:color w:val="auto"/>
          <w:szCs w:val="21"/>
          <w:highlight w:val="none"/>
        </w:rPr>
        <w:t>不通过</w:t>
      </w:r>
      <w:r>
        <w:rPr>
          <w:rFonts w:ascii="Calibri" w:hAnsi="Calibri"/>
          <w:color w:val="auto"/>
          <w:szCs w:val="21"/>
          <w:highlight w:val="none"/>
        </w:rPr>
        <w:t>”</w:t>
      </w:r>
      <w:r>
        <w:rPr>
          <w:rFonts w:ascii="Calibri" w:hAnsi="宋体"/>
          <w:color w:val="auto"/>
          <w:szCs w:val="21"/>
          <w:highlight w:val="none"/>
        </w:rPr>
        <w:t>，只有逐条通过</w:t>
      </w:r>
      <w:r>
        <w:rPr>
          <w:rFonts w:ascii="宋体" w:hAnsi="宋体"/>
          <w:bCs/>
          <w:color w:val="auto"/>
          <w:szCs w:val="21"/>
          <w:highlight w:val="none"/>
        </w:rPr>
        <w:t>《符合性检查表》</w:t>
      </w:r>
      <w:r>
        <w:rPr>
          <w:rFonts w:ascii="Calibri" w:hAnsi="宋体"/>
          <w:color w:val="auto"/>
          <w:szCs w:val="21"/>
          <w:highlight w:val="none"/>
        </w:rPr>
        <w:t>各项检查的投标方能进入下一阶段的评标，否则将导致其投标被废标。</w:t>
      </w:r>
    </w:p>
    <w:p>
      <w:pPr>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2、</w:t>
      </w:r>
      <w:r>
        <w:rPr>
          <w:rFonts w:ascii="宋体" w:hAnsi="宋体"/>
          <w:b/>
          <w:color w:val="auto"/>
          <w:szCs w:val="21"/>
          <w:highlight w:val="none"/>
        </w:rPr>
        <w:t>商务</w:t>
      </w:r>
      <w:r>
        <w:rPr>
          <w:rFonts w:hint="eastAsia" w:ascii="宋体" w:hAnsi="宋体"/>
          <w:b/>
          <w:color w:val="auto"/>
          <w:szCs w:val="21"/>
          <w:highlight w:val="none"/>
        </w:rPr>
        <w:t>、</w:t>
      </w:r>
      <w:r>
        <w:rPr>
          <w:rFonts w:ascii="宋体" w:hAnsi="宋体"/>
          <w:b/>
          <w:color w:val="auto"/>
          <w:szCs w:val="21"/>
          <w:highlight w:val="none"/>
        </w:rPr>
        <w:t>技术及价格评议</w:t>
      </w:r>
    </w:p>
    <w:p>
      <w:pPr>
        <w:pStyle w:val="61"/>
        <w:numPr>
          <w:ilvl w:val="0"/>
          <w:numId w:val="1"/>
        </w:numPr>
        <w:spacing w:line="360" w:lineRule="exact"/>
        <w:ind w:left="0" w:firstLine="422" w:firstLineChars="0"/>
        <w:rPr>
          <w:rFonts w:ascii="宋体" w:hAnsi="宋体"/>
          <w:bCs/>
          <w:color w:val="auto"/>
          <w:szCs w:val="21"/>
          <w:highlight w:val="none"/>
        </w:rPr>
      </w:pPr>
      <w:r>
        <w:rPr>
          <w:rFonts w:hint="eastAsia" w:ascii="宋体" w:hAnsi="宋体"/>
          <w:b/>
          <w:color w:val="auto"/>
          <w:szCs w:val="21"/>
          <w:highlight w:val="none"/>
        </w:rPr>
        <w:t>综合评分法：</w:t>
      </w:r>
      <w:r>
        <w:rPr>
          <w:rFonts w:ascii="宋体" w:hAnsi="宋体"/>
          <w:bCs/>
          <w:color w:val="auto"/>
          <w:szCs w:val="21"/>
          <w:highlight w:val="none"/>
        </w:rPr>
        <w:t>评标委员会根据《</w:t>
      </w:r>
      <w:r>
        <w:rPr>
          <w:rFonts w:hint="eastAsia" w:ascii="宋体" w:hAnsi="宋体"/>
          <w:bCs/>
          <w:color w:val="auto"/>
          <w:szCs w:val="21"/>
          <w:highlight w:val="none"/>
        </w:rPr>
        <w:t>评分表</w:t>
      </w:r>
      <w:r>
        <w:rPr>
          <w:rFonts w:ascii="宋体" w:hAnsi="宋体"/>
          <w:bCs/>
          <w:color w:val="auto"/>
          <w:szCs w:val="21"/>
          <w:highlight w:val="none"/>
        </w:rPr>
        <w:t>》的内容和标准，对通过</w:t>
      </w:r>
      <w:r>
        <w:rPr>
          <w:rFonts w:hint="eastAsia" w:ascii="宋体" w:hAnsi="宋体"/>
          <w:bCs/>
          <w:color w:val="auto"/>
          <w:szCs w:val="21"/>
          <w:highlight w:val="none"/>
        </w:rPr>
        <w:t>资格性和</w:t>
      </w:r>
      <w:r>
        <w:rPr>
          <w:rFonts w:ascii="宋体" w:hAnsi="宋体"/>
          <w:bCs/>
          <w:color w:val="auto"/>
          <w:szCs w:val="21"/>
          <w:highlight w:val="none"/>
        </w:rPr>
        <w:t>符合性检查的投标进行商务</w:t>
      </w:r>
      <w:r>
        <w:rPr>
          <w:rFonts w:hint="eastAsia" w:ascii="宋体" w:hAnsi="宋体"/>
          <w:bCs/>
          <w:color w:val="auto"/>
          <w:szCs w:val="21"/>
          <w:highlight w:val="none"/>
        </w:rPr>
        <w:t>、</w:t>
      </w:r>
      <w:r>
        <w:rPr>
          <w:rFonts w:ascii="宋体" w:hAnsi="宋体"/>
          <w:bCs/>
          <w:color w:val="auto"/>
          <w:szCs w:val="21"/>
          <w:highlight w:val="none"/>
        </w:rPr>
        <w:t>技术</w:t>
      </w:r>
      <w:r>
        <w:rPr>
          <w:rFonts w:hint="eastAsia" w:ascii="宋体" w:hAnsi="宋体"/>
          <w:bCs/>
          <w:color w:val="auto"/>
          <w:szCs w:val="21"/>
          <w:highlight w:val="none"/>
        </w:rPr>
        <w:t>及价格</w:t>
      </w:r>
      <w:r>
        <w:rPr>
          <w:rFonts w:ascii="宋体" w:hAnsi="宋体"/>
          <w:bCs/>
          <w:color w:val="auto"/>
          <w:szCs w:val="21"/>
          <w:highlight w:val="none"/>
        </w:rPr>
        <w:t>评议</w:t>
      </w:r>
      <w:r>
        <w:rPr>
          <w:rFonts w:hint="eastAsia" w:ascii="宋体" w:hAnsi="宋体"/>
          <w:bCs/>
          <w:color w:val="auto"/>
          <w:szCs w:val="21"/>
          <w:highlight w:val="none"/>
        </w:rPr>
        <w:t>，</w:t>
      </w:r>
      <w:r>
        <w:rPr>
          <w:rFonts w:ascii="宋体" w:hAnsi="宋体"/>
          <w:bCs/>
          <w:color w:val="auto"/>
          <w:szCs w:val="21"/>
          <w:highlight w:val="none"/>
        </w:rPr>
        <w:t>对照招标文件中的商务、技术需求条款和投标文件中的商务、技术条款响应进行评议。评标委员会成员将按照《</w:t>
      </w:r>
      <w:r>
        <w:rPr>
          <w:rFonts w:hint="eastAsia" w:ascii="宋体" w:hAnsi="宋体"/>
          <w:bCs/>
          <w:color w:val="auto"/>
          <w:szCs w:val="21"/>
          <w:highlight w:val="none"/>
        </w:rPr>
        <w:t>评分表</w:t>
      </w:r>
      <w:r>
        <w:rPr>
          <w:rFonts w:ascii="宋体" w:hAnsi="宋体"/>
          <w:bCs/>
          <w:color w:val="auto"/>
          <w:szCs w:val="21"/>
          <w:highlight w:val="none"/>
        </w:rPr>
        <w:t>》确定的</w:t>
      </w:r>
      <w:r>
        <w:rPr>
          <w:rFonts w:hint="eastAsia" w:ascii="宋体" w:hAnsi="宋体"/>
          <w:bCs/>
          <w:color w:val="auto"/>
          <w:szCs w:val="21"/>
          <w:highlight w:val="none"/>
        </w:rPr>
        <w:t>分值</w:t>
      </w:r>
      <w:r>
        <w:rPr>
          <w:rFonts w:ascii="宋体" w:hAnsi="宋体"/>
          <w:bCs/>
          <w:color w:val="auto"/>
          <w:szCs w:val="21"/>
          <w:highlight w:val="none"/>
        </w:rPr>
        <w:t>独立对每个投标的商务</w:t>
      </w:r>
      <w:r>
        <w:rPr>
          <w:rFonts w:hint="eastAsia" w:ascii="宋体" w:hAnsi="宋体"/>
          <w:bCs/>
          <w:color w:val="auto"/>
          <w:szCs w:val="21"/>
          <w:highlight w:val="none"/>
        </w:rPr>
        <w:t>、</w:t>
      </w:r>
      <w:r>
        <w:rPr>
          <w:rFonts w:ascii="宋体" w:hAnsi="宋体"/>
          <w:bCs/>
          <w:color w:val="auto"/>
          <w:szCs w:val="21"/>
          <w:highlight w:val="none"/>
        </w:rPr>
        <w:t>技术</w:t>
      </w:r>
      <w:r>
        <w:rPr>
          <w:rFonts w:hint="eastAsia" w:ascii="宋体" w:hAnsi="宋体"/>
          <w:bCs/>
          <w:color w:val="auto"/>
          <w:szCs w:val="21"/>
          <w:highlight w:val="none"/>
        </w:rPr>
        <w:t>及价格</w:t>
      </w:r>
      <w:r>
        <w:rPr>
          <w:rFonts w:ascii="宋体" w:hAnsi="宋体"/>
          <w:bCs/>
          <w:color w:val="auto"/>
          <w:szCs w:val="21"/>
          <w:highlight w:val="none"/>
        </w:rPr>
        <w:t>部分以打分的方式进行评议。</w:t>
      </w:r>
      <w:r>
        <w:rPr>
          <w:rFonts w:hint="eastAsia" w:ascii="宋体" w:hAnsi="宋体"/>
          <w:b/>
          <w:bCs/>
          <w:color w:val="auto"/>
          <w:szCs w:val="21"/>
          <w:highlight w:val="none"/>
        </w:rPr>
        <w:t>采用竞价法或抽签法定标时，如果通过资格性、符合性检查的有效投标人只有三家，可直接推荐并进入定标程序，不再对投标人进行商务、技术及价格评议</w:t>
      </w:r>
      <w:r>
        <w:rPr>
          <w:rFonts w:hint="eastAsia" w:ascii="宋体" w:hAnsi="宋体"/>
          <w:bCs/>
          <w:color w:val="auto"/>
          <w:szCs w:val="21"/>
          <w:highlight w:val="none"/>
        </w:rPr>
        <w:t>。</w:t>
      </w:r>
    </w:p>
    <w:p>
      <w:pPr>
        <w:pStyle w:val="61"/>
        <w:numPr>
          <w:ilvl w:val="0"/>
          <w:numId w:val="1"/>
        </w:numPr>
        <w:spacing w:line="360" w:lineRule="exact"/>
        <w:ind w:left="0" w:firstLine="422" w:firstLineChars="0"/>
        <w:rPr>
          <w:rFonts w:ascii="宋体" w:hAnsi="宋体"/>
          <w:b/>
          <w:color w:val="auto"/>
          <w:szCs w:val="21"/>
          <w:highlight w:val="none"/>
        </w:rPr>
      </w:pPr>
      <w:r>
        <w:rPr>
          <w:rFonts w:hint="eastAsia" w:ascii="宋体" w:hAnsi="宋体"/>
          <w:b/>
          <w:color w:val="auto"/>
          <w:szCs w:val="21"/>
          <w:highlight w:val="none"/>
        </w:rPr>
        <w:t>定性评审法：</w:t>
      </w:r>
      <w:r>
        <w:rPr>
          <w:rFonts w:ascii="宋体" w:hAnsi="宋体"/>
          <w:bCs/>
          <w:color w:val="auto"/>
          <w:szCs w:val="21"/>
          <w:highlight w:val="none"/>
        </w:rPr>
        <w:t>评标委员会对通过</w:t>
      </w:r>
      <w:r>
        <w:rPr>
          <w:rFonts w:hint="eastAsia" w:ascii="宋体" w:hAnsi="宋体"/>
          <w:bCs/>
          <w:color w:val="auto"/>
          <w:szCs w:val="21"/>
          <w:highlight w:val="none"/>
        </w:rPr>
        <w:t>资格性和</w:t>
      </w:r>
      <w:r>
        <w:rPr>
          <w:rFonts w:ascii="宋体" w:hAnsi="宋体"/>
          <w:bCs/>
          <w:color w:val="auto"/>
          <w:szCs w:val="21"/>
          <w:highlight w:val="none"/>
        </w:rPr>
        <w:t>符合性检查的投标进行商务</w:t>
      </w:r>
      <w:r>
        <w:rPr>
          <w:rFonts w:hint="eastAsia" w:ascii="宋体" w:hAnsi="宋体"/>
          <w:bCs/>
          <w:color w:val="auto"/>
          <w:szCs w:val="21"/>
          <w:highlight w:val="none"/>
        </w:rPr>
        <w:t>、</w:t>
      </w:r>
      <w:r>
        <w:rPr>
          <w:rFonts w:ascii="宋体" w:hAnsi="宋体"/>
          <w:bCs/>
          <w:color w:val="auto"/>
          <w:szCs w:val="21"/>
          <w:highlight w:val="none"/>
        </w:rPr>
        <w:t>技术</w:t>
      </w:r>
      <w:r>
        <w:rPr>
          <w:rFonts w:hint="eastAsia" w:ascii="宋体" w:hAnsi="宋体"/>
          <w:bCs/>
          <w:color w:val="auto"/>
          <w:szCs w:val="21"/>
          <w:highlight w:val="none"/>
        </w:rPr>
        <w:t>及价格</w:t>
      </w:r>
      <w:r>
        <w:rPr>
          <w:rFonts w:ascii="宋体" w:hAnsi="宋体"/>
          <w:bCs/>
          <w:color w:val="auto"/>
          <w:szCs w:val="21"/>
          <w:highlight w:val="none"/>
        </w:rPr>
        <w:t>评议</w:t>
      </w:r>
      <w:r>
        <w:rPr>
          <w:rFonts w:hint="eastAsia" w:ascii="宋体" w:hAnsi="宋体"/>
          <w:bCs/>
          <w:color w:val="auto"/>
          <w:szCs w:val="21"/>
          <w:highlight w:val="none"/>
        </w:rPr>
        <w:t>，</w:t>
      </w:r>
      <w:r>
        <w:rPr>
          <w:rFonts w:ascii="宋体" w:hAnsi="宋体"/>
          <w:bCs/>
          <w:color w:val="auto"/>
          <w:szCs w:val="21"/>
          <w:highlight w:val="none"/>
        </w:rPr>
        <w:t>对照招标文件中的商务、技术需求条款和投标文件中的商务、技术条款响应进行评议</w:t>
      </w:r>
      <w:r>
        <w:rPr>
          <w:rFonts w:hint="eastAsia" w:ascii="宋体" w:hAnsi="宋体"/>
          <w:bCs/>
          <w:color w:val="auto"/>
          <w:szCs w:val="21"/>
          <w:highlight w:val="none"/>
        </w:rPr>
        <w:t>，对各投标文件是否满足招标文件实质性要求提出评审意见</w:t>
      </w:r>
      <w:r>
        <w:rPr>
          <w:rFonts w:ascii="宋体" w:hAnsi="宋体"/>
          <w:bCs/>
          <w:color w:val="auto"/>
          <w:szCs w:val="21"/>
          <w:highlight w:val="none"/>
        </w:rPr>
        <w:t>。</w:t>
      </w:r>
    </w:p>
    <w:p>
      <w:pPr>
        <w:spacing w:line="360" w:lineRule="exact"/>
        <w:ind w:firstLine="422" w:firstLineChars="200"/>
        <w:rPr>
          <w:rFonts w:ascii="Calibri" w:hAnsi="Calibri"/>
          <w:b/>
          <w:color w:val="auto"/>
          <w:szCs w:val="21"/>
          <w:highlight w:val="none"/>
        </w:rPr>
      </w:pPr>
      <w:r>
        <w:rPr>
          <w:rFonts w:hint="eastAsia" w:ascii="宋体" w:hAnsi="宋体"/>
          <w:b/>
          <w:color w:val="auto"/>
          <w:szCs w:val="21"/>
          <w:highlight w:val="none"/>
        </w:rPr>
        <w:t>3、</w:t>
      </w:r>
      <w:r>
        <w:rPr>
          <w:rFonts w:ascii="Calibri" w:hAnsi="宋体"/>
          <w:b/>
          <w:color w:val="auto"/>
          <w:szCs w:val="21"/>
          <w:highlight w:val="none"/>
        </w:rPr>
        <w:t>中标人的确定</w:t>
      </w:r>
    </w:p>
    <w:p>
      <w:pPr>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 xml:space="preserve">3.1  </w:t>
      </w:r>
      <w:r>
        <w:rPr>
          <w:rFonts w:hint="eastAsia" w:ascii="宋体" w:hAnsi="宋体"/>
          <w:b/>
          <w:bCs/>
          <w:color w:val="auto"/>
          <w:szCs w:val="21"/>
          <w:highlight w:val="none"/>
        </w:rPr>
        <w:t>候选中标供应商推荐</w:t>
      </w:r>
    </w:p>
    <w:p>
      <w:pPr>
        <w:pStyle w:val="61"/>
        <w:numPr>
          <w:ilvl w:val="0"/>
          <w:numId w:val="1"/>
        </w:numPr>
        <w:spacing w:line="360" w:lineRule="exact"/>
        <w:ind w:left="0" w:firstLine="422" w:firstLineChars="0"/>
        <w:rPr>
          <w:color w:val="auto"/>
          <w:szCs w:val="21"/>
          <w:highlight w:val="none"/>
        </w:rPr>
      </w:pPr>
      <w:r>
        <w:rPr>
          <w:rFonts w:hint="eastAsia" w:ascii="宋体" w:hAnsi="宋体"/>
          <w:b/>
          <w:color w:val="auto"/>
          <w:szCs w:val="21"/>
          <w:highlight w:val="none"/>
        </w:rPr>
        <w:t>综合评分法：</w:t>
      </w:r>
      <w:r>
        <w:rPr>
          <w:rFonts w:hint="eastAsia" w:ascii="宋体" w:hAnsi="宋体"/>
          <w:bCs/>
          <w:color w:val="auto"/>
          <w:szCs w:val="21"/>
          <w:highlight w:val="none"/>
        </w:rPr>
        <w:t>每个投标单位的评标总得分以</w:t>
      </w:r>
      <w:r>
        <w:rPr>
          <w:rFonts w:ascii="宋体" w:hAnsi="宋体"/>
          <w:color w:val="auto"/>
          <w:szCs w:val="21"/>
          <w:highlight w:val="none"/>
        </w:rPr>
        <w:t>所有评标委员会成员的独立评分</w:t>
      </w:r>
      <w:r>
        <w:rPr>
          <w:rFonts w:hint="eastAsia" w:ascii="宋体" w:hAnsi="宋体"/>
          <w:color w:val="auto"/>
          <w:szCs w:val="21"/>
          <w:highlight w:val="none"/>
        </w:rPr>
        <w:t>汇总</w:t>
      </w:r>
      <w:r>
        <w:rPr>
          <w:rFonts w:hint="eastAsia" w:ascii="宋体" w:hAnsi="宋体"/>
          <w:bCs/>
          <w:color w:val="auto"/>
          <w:szCs w:val="21"/>
          <w:highlight w:val="none"/>
        </w:rPr>
        <w:t>后确定，</w:t>
      </w:r>
      <w:r>
        <w:rPr>
          <w:rFonts w:ascii="宋体" w:hAnsi="宋体"/>
          <w:bCs/>
          <w:color w:val="auto"/>
          <w:szCs w:val="21"/>
          <w:highlight w:val="none"/>
        </w:rPr>
        <w:t>评标总得分相同的，按投标报价由低到高顺序排列；评标总得分且投标报价相同的，按技术指标</w:t>
      </w:r>
      <w:r>
        <w:rPr>
          <w:rFonts w:hint="eastAsia" w:ascii="宋体" w:hAnsi="宋体"/>
          <w:bCs/>
          <w:color w:val="auto"/>
          <w:szCs w:val="21"/>
          <w:highlight w:val="none"/>
        </w:rPr>
        <w:t>（技术部分）</w:t>
      </w:r>
      <w:r>
        <w:rPr>
          <w:rFonts w:ascii="宋体" w:hAnsi="宋体"/>
          <w:bCs/>
          <w:color w:val="auto"/>
          <w:szCs w:val="21"/>
          <w:highlight w:val="none"/>
        </w:rPr>
        <w:t>得分优劣顺序排列。</w:t>
      </w:r>
      <w:r>
        <w:rPr>
          <w:rFonts w:hint="eastAsia" w:ascii="宋体" w:hAnsi="宋体"/>
          <w:bCs/>
          <w:color w:val="auto"/>
          <w:szCs w:val="21"/>
          <w:highlight w:val="none"/>
        </w:rPr>
        <w:t>评标委员会按照综合评分的排名结果推荐中标候选供应商，评标汇总得分排名前列的三家投标人（当且仅当选取第3家候选中标供应商时，如出现并列排名的情形，该名次的所有投标供应商均作为候选中标供应商），作为推荐的候选中标供应商（排名不分先后）。</w:t>
      </w:r>
    </w:p>
    <w:p>
      <w:pPr>
        <w:pStyle w:val="61"/>
        <w:numPr>
          <w:ilvl w:val="0"/>
          <w:numId w:val="1"/>
        </w:numPr>
        <w:spacing w:line="360" w:lineRule="exact"/>
        <w:ind w:left="0" w:firstLine="422" w:firstLineChars="0"/>
        <w:rPr>
          <w:rFonts w:ascii="宋体" w:hAnsi="宋体"/>
          <w:color w:val="auto"/>
          <w:szCs w:val="21"/>
          <w:highlight w:val="none"/>
        </w:rPr>
      </w:pPr>
      <w:r>
        <w:rPr>
          <w:rFonts w:hint="eastAsia" w:ascii="宋体" w:hAnsi="宋体"/>
          <w:b/>
          <w:color w:val="auto"/>
          <w:szCs w:val="21"/>
          <w:highlight w:val="none"/>
        </w:rPr>
        <w:t>定性评审法：</w:t>
      </w:r>
      <w:r>
        <w:rPr>
          <w:rFonts w:hint="eastAsia" w:ascii="宋体" w:hAnsi="宋体"/>
          <w:bCs/>
          <w:color w:val="auto"/>
          <w:szCs w:val="21"/>
          <w:highlight w:val="none"/>
        </w:rPr>
        <w:t>评标委员会按照定性评审的结果推荐中标候选供应商，所有递交投标文件未被判定为废标或者无效投标的投标人，均推荐为候选中标供应商（排名不分先后）。</w:t>
      </w:r>
    </w:p>
    <w:p>
      <w:pPr>
        <w:pStyle w:val="61"/>
        <w:numPr>
          <w:ilvl w:val="0"/>
          <w:numId w:val="1"/>
        </w:numPr>
        <w:spacing w:line="360" w:lineRule="exact"/>
        <w:ind w:left="0" w:firstLine="422" w:firstLineChars="0"/>
        <w:rPr>
          <w:rFonts w:ascii="宋体" w:hAnsi="宋体"/>
          <w:bCs/>
          <w:i/>
          <w:color w:val="auto"/>
          <w:szCs w:val="21"/>
          <w:highlight w:val="none"/>
        </w:rPr>
      </w:pPr>
      <w:r>
        <w:rPr>
          <w:rFonts w:hint="eastAsia" w:ascii="宋体" w:hAnsi="宋体"/>
          <w:b/>
          <w:color w:val="auto"/>
          <w:szCs w:val="21"/>
          <w:highlight w:val="none"/>
        </w:rPr>
        <w:t>最低价法：</w:t>
      </w:r>
      <w:r>
        <w:rPr>
          <w:rFonts w:hint="eastAsia" w:ascii="宋体" w:hAnsi="宋体"/>
          <w:bCs/>
          <w:color w:val="auto"/>
          <w:szCs w:val="21"/>
          <w:highlight w:val="none"/>
        </w:rPr>
        <w:t>评标委员会按照最低价法评审的结果推荐中标候选供应商，有效投标报价由低到高顺序排列，报价最低的三家投标人（当且仅当选取第3家候选中标供应商时，如出现并列排名的情形，该名次的所有投标供应商均作为候选中标供应商），作为推荐的候选中标供应商（排名不分先后）。</w:t>
      </w:r>
      <w:r>
        <w:rPr>
          <w:rFonts w:hint="eastAsia" w:ascii="宋体" w:hAnsi="宋体"/>
          <w:b/>
          <w:bCs/>
          <w:color w:val="auto"/>
          <w:szCs w:val="21"/>
          <w:highlight w:val="none"/>
        </w:rPr>
        <w:t>根据《深圳市财政委员会关于加强招投标评审环节诚信管理的通知》(深财购[2013]27号)及《深圳市财政委员会关于印发&lt;深圳市政府采购供应商诚信管理暂行办法操作细则&gt;的通知(深财购[2017]42号)》文的要求，投标人在参与政府采购活动中存在诚信相关问题且在主管部门相关处理措施实施期限内的，在该企业投标报价的基础上上浮10%后参与价格评比。投标人无需提供任何证明材料，由本项目评审委员会在评标时通过深圳市政府采购网系统查询。</w:t>
      </w:r>
    </w:p>
    <w:p>
      <w:pPr>
        <w:spacing w:line="36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3.2  定标</w:t>
      </w:r>
    </w:p>
    <w:p>
      <w:pPr>
        <w:pStyle w:val="61"/>
        <w:numPr>
          <w:ilvl w:val="0"/>
          <w:numId w:val="1"/>
        </w:numPr>
        <w:spacing w:line="360" w:lineRule="exact"/>
        <w:ind w:left="0" w:firstLine="422" w:firstLineChars="0"/>
        <w:rPr>
          <w:rFonts w:ascii="宋体" w:hAnsi="宋体"/>
          <w:bCs/>
          <w:color w:val="auto"/>
          <w:szCs w:val="21"/>
          <w:highlight w:val="none"/>
        </w:rPr>
      </w:pPr>
      <w:r>
        <w:rPr>
          <w:rFonts w:hint="eastAsia" w:ascii="宋体" w:hAnsi="宋体"/>
          <w:b/>
          <w:bCs/>
          <w:color w:val="auto"/>
          <w:szCs w:val="21"/>
          <w:highlight w:val="none"/>
        </w:rPr>
        <w:t>自定法：</w:t>
      </w:r>
      <w:r>
        <w:rPr>
          <w:rFonts w:hint="eastAsia" w:ascii="宋体" w:hAnsi="宋体"/>
          <w:bCs/>
          <w:color w:val="auto"/>
          <w:szCs w:val="21"/>
          <w:highlight w:val="none"/>
        </w:rPr>
        <w:t>采购单位从评标委员会推荐的中标候选人中自行选择确定1名中标供应商。采购人组成的定标委员会选择直线票决法、集体议事法和累积投票法三种方式之一进行定标，具体操作程序按照《深圳市政府采购评标定标分离管理暂行办法》要求执行。</w:t>
      </w:r>
    </w:p>
    <w:p>
      <w:pPr>
        <w:pStyle w:val="61"/>
        <w:numPr>
          <w:ilvl w:val="0"/>
          <w:numId w:val="1"/>
        </w:numPr>
        <w:spacing w:line="360" w:lineRule="exact"/>
        <w:ind w:left="0" w:firstLine="422"/>
        <w:jc w:val="left"/>
        <w:rPr>
          <w:rFonts w:ascii="宋体" w:hAnsi="宋体"/>
          <w:bCs/>
          <w:color w:val="auto"/>
          <w:szCs w:val="21"/>
          <w:highlight w:val="none"/>
        </w:rPr>
      </w:pPr>
      <w:r>
        <w:rPr>
          <w:rFonts w:hint="eastAsia" w:ascii="宋体" w:hAnsi="宋体"/>
          <w:b/>
          <w:color w:val="auto"/>
          <w:szCs w:val="21"/>
          <w:highlight w:val="none"/>
        </w:rPr>
        <w:t>抽签法：</w:t>
      </w:r>
      <w:r>
        <w:rPr>
          <w:rFonts w:hint="eastAsia" w:hAnsi="宋体"/>
          <w:color w:val="auto"/>
          <w:szCs w:val="21"/>
          <w:highlight w:val="none"/>
        </w:rPr>
        <w:t>由采购人授权代表和项目评审组织人员组成的抽签小组随机抽取中标供应商。</w:t>
      </w:r>
      <w:r>
        <w:rPr>
          <w:rFonts w:hint="eastAsia" w:ascii="宋体" w:hAnsi="宋体"/>
          <w:b/>
          <w:color w:val="auto"/>
          <w:szCs w:val="21"/>
          <w:highlight w:val="none"/>
        </w:rPr>
        <w:t>抽签程序：</w:t>
      </w:r>
      <w:r>
        <w:rPr>
          <w:rFonts w:hint="eastAsia" w:ascii="宋体" w:hAnsi="宋体"/>
          <w:color w:val="auto"/>
          <w:szCs w:val="21"/>
          <w:highlight w:val="none"/>
        </w:rPr>
        <w:t>在项目评审</w:t>
      </w:r>
      <w:r>
        <w:rPr>
          <w:rFonts w:ascii="宋体" w:hAnsi="宋体"/>
          <w:color w:val="auto"/>
          <w:szCs w:val="21"/>
          <w:highlight w:val="none"/>
        </w:rPr>
        <w:t>结束的当日，</w:t>
      </w:r>
      <w:r>
        <w:rPr>
          <w:rFonts w:hint="eastAsia" w:ascii="宋体" w:hAnsi="宋体"/>
          <w:color w:val="auto"/>
          <w:szCs w:val="21"/>
          <w:highlight w:val="none"/>
        </w:rPr>
        <w:t>由采购单位授权代表和</w:t>
      </w:r>
      <w:r>
        <w:rPr>
          <w:rFonts w:hint="eastAsia" w:ascii="宋体" w:hAnsi="宋体"/>
          <w:bCs/>
          <w:color w:val="auto"/>
          <w:szCs w:val="21"/>
          <w:highlight w:val="none"/>
        </w:rPr>
        <w:t>项目评审组织人员</w:t>
      </w:r>
      <w:r>
        <w:rPr>
          <w:rFonts w:hint="eastAsia" w:ascii="宋体" w:hAnsi="宋体"/>
          <w:color w:val="auto"/>
          <w:szCs w:val="21"/>
          <w:highlight w:val="none"/>
        </w:rPr>
        <w:t>组成抽签小组，在评标委员会的监督下，进行抽签定标。本项目抽签按最大号中标原则，根据中标候选供应商的排序，抽中最大号者为中标供应商。程序如下：①采购单位授权代表进行抽签；②按照候选中标供应商签到顺序先后依次进行抽签；③采购单位授权代表按抽签按钮后如果没有抽到号码球，则再按抽签按钮重抽一次，直至抽到号码球为止；④首轮抽签结束后，因候选中标供应商有重号而无法确定中标结果的，重号的候选中标供应商进行下一轮抽签，以决定该重号候选中标供应商的排序，抽签顺序和中标原则不变，直至确定中标结果为止；⑤采购单位授权代表抽签后须对抽签结果进行签字确认。</w:t>
      </w:r>
    </w:p>
    <w:p>
      <w:pPr>
        <w:pStyle w:val="61"/>
        <w:numPr>
          <w:ilvl w:val="0"/>
          <w:numId w:val="1"/>
        </w:numPr>
        <w:spacing w:line="360" w:lineRule="exact"/>
        <w:ind w:left="0" w:firstLine="386" w:firstLineChars="183"/>
        <w:rPr>
          <w:rFonts w:ascii="宋体" w:hAnsi="宋体"/>
          <w:color w:val="auto"/>
          <w:szCs w:val="21"/>
          <w:highlight w:val="none"/>
        </w:rPr>
      </w:pPr>
      <w:r>
        <w:rPr>
          <w:rFonts w:hint="eastAsia" w:ascii="宋体" w:hAnsi="宋体"/>
          <w:b/>
          <w:color w:val="auto"/>
          <w:szCs w:val="21"/>
          <w:highlight w:val="none"/>
        </w:rPr>
        <w:t>竞价法：</w:t>
      </w:r>
      <w:r>
        <w:rPr>
          <w:rFonts w:hint="eastAsia" w:hAnsi="宋体"/>
          <w:color w:val="auto"/>
          <w:szCs w:val="21"/>
          <w:highlight w:val="none"/>
        </w:rPr>
        <w:t>由采购人授权代表和项目评审组织人员组成的竞价小组，组织候选中标供应商进行二次竞价，最终报价最低的为中标供应商。</w:t>
      </w:r>
      <w:r>
        <w:rPr>
          <w:rFonts w:hint="eastAsia" w:ascii="宋体" w:hAnsi="宋体"/>
          <w:b/>
          <w:color w:val="auto"/>
          <w:szCs w:val="21"/>
          <w:highlight w:val="none"/>
        </w:rPr>
        <w:t>竞价程序：</w:t>
      </w:r>
      <w:r>
        <w:rPr>
          <w:rFonts w:hint="eastAsia" w:ascii="宋体" w:hAnsi="宋体"/>
          <w:color w:val="auto"/>
          <w:szCs w:val="21"/>
          <w:highlight w:val="none"/>
        </w:rPr>
        <w:t>（1）评审结束后首个工作日，由采购人授权代表和项目评审组织人员组成的竞价小组，组织候选中标供应商进行二次竞价；（2）中标候选供应商应派授权代表到场，未在指定时间内到达现场或不到现场的供应商，竞价价格以其投标文件的投标报价为准；（3）供应商授权代表进行书面的二次竞价，每个供应商只有一次报价机会；（4）所有中标候选供应商统一递交二次竞价表；（5）竞价小组成员签字确认竞价结果并现场宣布供应商竞价价格。</w:t>
      </w:r>
    </w:p>
    <w:p>
      <w:pPr>
        <w:spacing w:line="360" w:lineRule="exact"/>
        <w:ind w:firstLine="386" w:firstLineChars="183"/>
        <w:rPr>
          <w:rFonts w:ascii="Calibri" w:hAnsi="宋体"/>
          <w:color w:val="auto"/>
          <w:szCs w:val="21"/>
          <w:highlight w:val="none"/>
        </w:rPr>
      </w:pPr>
      <w:r>
        <w:rPr>
          <w:rFonts w:hint="eastAsia" w:ascii="Calibri" w:hAnsi="宋体"/>
          <w:b/>
          <w:color w:val="auto"/>
          <w:szCs w:val="21"/>
          <w:highlight w:val="none"/>
        </w:rPr>
        <w:t>备注：</w:t>
      </w:r>
      <w:r>
        <w:rPr>
          <w:rFonts w:hint="eastAsia" w:ascii="Calibri" w:hAnsi="宋体"/>
          <w:color w:val="auto"/>
          <w:szCs w:val="21"/>
          <w:highlight w:val="none"/>
        </w:rPr>
        <w:t>①投标人应提前做好准备，按要求准时到达竞价现场；②候选中标供应商竞价的价格不得高于其投标文件中的报价；③二次竞价的价格为投标总价，采购计划条目对应的分项报价按最终报价与原投标报价下浮比例统一下调；④有两家或以上候选中标供应商竞价报价相同且为最低报价时，采用抽签法确定中标供应商。</w:t>
      </w:r>
    </w:p>
    <w:p>
      <w:pPr>
        <w:spacing w:line="360" w:lineRule="exact"/>
        <w:ind w:firstLine="386" w:firstLineChars="183"/>
        <w:rPr>
          <w:rFonts w:hAnsi="宋体"/>
          <w:color w:val="auto"/>
          <w:szCs w:val="21"/>
          <w:highlight w:val="none"/>
          <w:shd w:val="pct10" w:color="auto" w:fill="FFFFFF"/>
        </w:rPr>
      </w:pPr>
      <w:r>
        <w:rPr>
          <w:rFonts w:hint="eastAsia" w:ascii="宋体" w:hAnsi="宋体"/>
          <w:b/>
          <w:color w:val="auto"/>
          <w:szCs w:val="21"/>
          <w:highlight w:val="none"/>
        </w:rPr>
        <w:t>4、质疑投诉处理：</w:t>
      </w:r>
      <w:r>
        <w:rPr>
          <w:rFonts w:hint="eastAsia" w:ascii="宋体" w:hAnsi="宋体"/>
          <w:color w:val="auto"/>
          <w:szCs w:val="21"/>
          <w:highlight w:val="none"/>
        </w:rPr>
        <w:t>确定中标供应商后出现质疑投诉的，按照政府有关规定和程序进行处理：（1）如中标供应商因项目质疑、投诉等问题被取消或放弃中标资格的，则该项目作废标处理重新组织招标；（2）如候选中标供应商因质疑投诉等问题被取消候选中标资格，但符合N+2条件的（N为中标供应商数量），则维持原中标结果；（3）如候选中标供应商因质疑投诉等问题被取消候选中标资格，且不符合N+2条件的（N为中标供应商数量），则该项目作废标处理重新组织招标。</w:t>
      </w:r>
    </w:p>
    <w:p>
      <w:bookmarkStart w:id="9" w:name="_GoBack"/>
      <w:bookmarkEnd w:id="9"/>
    </w:p>
    <w:sectPr>
      <w:headerReference r:id="rId3" w:type="default"/>
      <w:footerReference r:id="rId4" w:type="default"/>
      <w:footerReference r:id="rId5" w:type="even"/>
      <w:pgSz w:w="11907" w:h="16840"/>
      <w:pgMar w:top="1843" w:right="1349" w:bottom="1383" w:left="1559" w:header="851" w:footer="992" w:gutter="0"/>
      <w:pgNumType w:start="0"/>
      <w:cols w:space="425" w:num="1"/>
      <w:titlePg/>
      <w:docGrid w:type="lines" w:linePitch="5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3"/>
      </w:rPr>
    </w:pPr>
    <w:r>
      <w:rPr>
        <w:rStyle w:val="33"/>
      </w:rPr>
      <w:fldChar w:fldCharType="begin"/>
    </w:r>
    <w:r>
      <w:rPr>
        <w:rStyle w:val="33"/>
      </w:rPr>
      <w:instrText xml:space="preserve">PAGE  </w:instrText>
    </w:r>
    <w:r>
      <w:rPr>
        <w:rStyle w:val="33"/>
      </w:rPr>
      <w:fldChar w:fldCharType="separate"/>
    </w:r>
    <w:r>
      <w:rPr>
        <w:rStyle w:val="33"/>
      </w:rPr>
      <w:t>29</w:t>
    </w:r>
    <w:r>
      <w:rPr>
        <w:rStyle w:val="3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3"/>
      </w:rPr>
    </w:pPr>
    <w:r>
      <w:rPr>
        <w:rStyle w:val="33"/>
      </w:rPr>
      <w:fldChar w:fldCharType="begin"/>
    </w:r>
    <w:r>
      <w:rPr>
        <w:rStyle w:val="33"/>
      </w:rPr>
      <w:instrText xml:space="preserve">PAGE  </w:instrText>
    </w:r>
    <w:r>
      <w:rPr>
        <w:rStyle w:val="33"/>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A216A"/>
    <w:multiLevelType w:val="multilevel"/>
    <w:tmpl w:val="2A8A216A"/>
    <w:lvl w:ilvl="0" w:tentative="0">
      <w:start w:val="1"/>
      <w:numFmt w:val="bullet"/>
      <w:lvlText w:val=""/>
      <w:lvlJc w:val="left"/>
      <w:pPr>
        <w:ind w:left="842" w:hanging="420"/>
      </w:pPr>
      <w:rPr>
        <w:rFonts w:hint="default" w:ascii="Wingdings" w:hAnsi="Wingdings"/>
      </w:rPr>
    </w:lvl>
    <w:lvl w:ilvl="1" w:tentative="0">
      <w:start w:val="1"/>
      <w:numFmt w:val="bullet"/>
      <w:lvlText w:val=""/>
      <w:lvlJc w:val="left"/>
      <w:pPr>
        <w:ind w:left="1262" w:hanging="420"/>
      </w:pPr>
      <w:rPr>
        <w:rFonts w:hint="default" w:ascii="Wingdings" w:hAnsi="Wingdings"/>
      </w:rPr>
    </w:lvl>
    <w:lvl w:ilvl="2" w:tentative="0">
      <w:start w:val="1"/>
      <w:numFmt w:val="bullet"/>
      <w:lvlText w:val=""/>
      <w:lvlJc w:val="left"/>
      <w:pPr>
        <w:ind w:left="1682" w:hanging="420"/>
      </w:pPr>
      <w:rPr>
        <w:rFonts w:hint="default" w:ascii="Wingdings" w:hAnsi="Wingdings"/>
      </w:rPr>
    </w:lvl>
    <w:lvl w:ilvl="3" w:tentative="0">
      <w:start w:val="1"/>
      <w:numFmt w:val="bullet"/>
      <w:lvlText w:val=""/>
      <w:lvlJc w:val="left"/>
      <w:pPr>
        <w:ind w:left="2102" w:hanging="420"/>
      </w:pPr>
      <w:rPr>
        <w:rFonts w:hint="default" w:ascii="Wingdings" w:hAnsi="Wingdings"/>
      </w:rPr>
    </w:lvl>
    <w:lvl w:ilvl="4" w:tentative="0">
      <w:start w:val="1"/>
      <w:numFmt w:val="bullet"/>
      <w:lvlText w:val=""/>
      <w:lvlJc w:val="left"/>
      <w:pPr>
        <w:ind w:left="2522" w:hanging="420"/>
      </w:pPr>
      <w:rPr>
        <w:rFonts w:hint="default" w:ascii="Wingdings" w:hAnsi="Wingdings"/>
      </w:rPr>
    </w:lvl>
    <w:lvl w:ilvl="5" w:tentative="0">
      <w:start w:val="1"/>
      <w:numFmt w:val="bullet"/>
      <w:lvlText w:val=""/>
      <w:lvlJc w:val="left"/>
      <w:pPr>
        <w:ind w:left="2942" w:hanging="420"/>
      </w:pPr>
      <w:rPr>
        <w:rFonts w:hint="default" w:ascii="Wingdings" w:hAnsi="Wingdings"/>
      </w:rPr>
    </w:lvl>
    <w:lvl w:ilvl="6" w:tentative="0">
      <w:start w:val="1"/>
      <w:numFmt w:val="bullet"/>
      <w:lvlText w:val=""/>
      <w:lvlJc w:val="left"/>
      <w:pPr>
        <w:ind w:left="3362" w:hanging="420"/>
      </w:pPr>
      <w:rPr>
        <w:rFonts w:hint="default" w:ascii="Wingdings" w:hAnsi="Wingdings"/>
      </w:rPr>
    </w:lvl>
    <w:lvl w:ilvl="7" w:tentative="0">
      <w:start w:val="1"/>
      <w:numFmt w:val="bullet"/>
      <w:lvlText w:val=""/>
      <w:lvlJc w:val="left"/>
      <w:pPr>
        <w:ind w:left="3782" w:hanging="420"/>
      </w:pPr>
      <w:rPr>
        <w:rFonts w:hint="default" w:ascii="Wingdings" w:hAnsi="Wingdings"/>
      </w:rPr>
    </w:lvl>
    <w:lvl w:ilvl="8" w:tentative="0">
      <w:start w:val="1"/>
      <w:numFmt w:val="bullet"/>
      <w:lvlText w:val=""/>
      <w:lvlJc w:val="left"/>
      <w:pPr>
        <w:ind w:left="420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A0"/>
    <w:rsid w:val="005F7BA0"/>
    <w:rsid w:val="00B01049"/>
    <w:rsid w:val="07AA4C4B"/>
    <w:rsid w:val="32693C01"/>
    <w:rsid w:val="38BA4CC7"/>
    <w:rsid w:val="4D962E65"/>
    <w:rsid w:val="52F02E0D"/>
    <w:rsid w:val="655B338B"/>
    <w:rsid w:val="65B7636B"/>
    <w:rsid w:val="7325473C"/>
    <w:rsid w:val="7CB13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unhideWhenUsed="0" w:uiPriority="0" w:name="toc 7"/>
    <w:lsdException w:unhideWhenUsed="0" w:uiPriority="0" w:name="toc 8"/>
    <w:lsdException w:qFormat="1" w:unhideWhenUsed="0" w:uiPriority="0" w:name="toc 9"/>
    <w:lsdException w:unhideWhenUsed="0" w:uiPriority="0" w:semiHidden="0" w:name="Normal Indent"/>
    <w:lsdException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2"/>
    <w:basedOn w:val="1"/>
    <w:next w:val="1"/>
    <w:link w:val="36"/>
    <w:qFormat/>
    <w:uiPriority w:val="0"/>
    <w:pPr>
      <w:keepNext/>
      <w:keepLines/>
      <w:spacing w:before="260" w:after="260" w:line="415" w:lineRule="auto"/>
      <w:outlineLvl w:val="1"/>
    </w:pPr>
    <w:rPr>
      <w:rFonts w:ascii="Cambria" w:hAnsi="Cambria" w:cs="宋体"/>
      <w:b/>
      <w:bCs/>
      <w:sz w:val="32"/>
      <w:szCs w:val="32"/>
    </w:rPr>
  </w:style>
  <w:style w:type="paragraph" w:styleId="3">
    <w:name w:val="heading 3"/>
    <w:basedOn w:val="4"/>
    <w:next w:val="1"/>
    <w:link w:val="37"/>
    <w:qFormat/>
    <w:uiPriority w:val="0"/>
    <w:pPr>
      <w:spacing w:before="260" w:after="260" w:line="240" w:lineRule="auto"/>
      <w:outlineLvl w:val="2"/>
    </w:pPr>
    <w:rPr>
      <w:rFonts w:ascii="宋体" w:hAnsi="宋体"/>
      <w:kern w:val="0"/>
      <w:szCs w:val="32"/>
    </w:rPr>
  </w:style>
  <w:style w:type="paragraph" w:styleId="4">
    <w:name w:val="heading 4"/>
    <w:basedOn w:val="1"/>
    <w:next w:val="1"/>
    <w:link w:val="38"/>
    <w:semiHidden/>
    <w:unhideWhenUsed/>
    <w:qFormat/>
    <w:uiPriority w:val="0"/>
    <w:pPr>
      <w:keepNext/>
      <w:keepLines/>
      <w:spacing w:before="280" w:after="290" w:line="376" w:lineRule="auto"/>
      <w:outlineLvl w:val="3"/>
    </w:pPr>
    <w:rPr>
      <w:rFonts w:ascii="Cambria" w:hAnsi="Cambria"/>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toc 7"/>
    <w:basedOn w:val="1"/>
    <w:next w:val="1"/>
    <w:semiHidden/>
    <w:uiPriority w:val="0"/>
    <w:pPr>
      <w:ind w:left="1260"/>
      <w:jc w:val="left"/>
    </w:pPr>
    <w:rPr>
      <w:sz w:val="18"/>
      <w:szCs w:val="18"/>
    </w:rPr>
  </w:style>
  <w:style w:type="paragraph" w:styleId="6">
    <w:name w:val="Normal Indent"/>
    <w:basedOn w:val="1"/>
    <w:link w:val="63"/>
    <w:uiPriority w:val="0"/>
    <w:pPr>
      <w:ind w:firstLine="420" w:firstLineChars="200"/>
    </w:pPr>
    <w:rPr>
      <w:szCs w:val="24"/>
    </w:rPr>
  </w:style>
  <w:style w:type="paragraph" w:styleId="7">
    <w:name w:val="Document Map"/>
    <w:basedOn w:val="1"/>
    <w:link w:val="39"/>
    <w:uiPriority w:val="0"/>
    <w:rPr>
      <w:rFonts w:ascii="宋体"/>
      <w:sz w:val="18"/>
      <w:szCs w:val="18"/>
    </w:rPr>
  </w:style>
  <w:style w:type="paragraph" w:styleId="8">
    <w:name w:val="annotation text"/>
    <w:basedOn w:val="1"/>
    <w:link w:val="40"/>
    <w:uiPriority w:val="0"/>
    <w:pPr>
      <w:jc w:val="left"/>
    </w:pPr>
  </w:style>
  <w:style w:type="paragraph" w:styleId="9">
    <w:name w:val="Body Text 3"/>
    <w:basedOn w:val="1"/>
    <w:link w:val="41"/>
    <w:uiPriority w:val="0"/>
    <w:pPr>
      <w:spacing w:line="440" w:lineRule="exact"/>
    </w:pPr>
    <w:rPr>
      <w:rFonts w:eastAsia="仿宋_GB2312"/>
      <w:sz w:val="28"/>
    </w:rPr>
  </w:style>
  <w:style w:type="paragraph" w:styleId="10">
    <w:name w:val="Body Text"/>
    <w:basedOn w:val="1"/>
    <w:link w:val="42"/>
    <w:qFormat/>
    <w:uiPriority w:val="0"/>
    <w:rPr>
      <w:rFonts w:ascii="仿宋_GB2312" w:eastAsia="仿宋_GB2312"/>
      <w:sz w:val="32"/>
    </w:rPr>
  </w:style>
  <w:style w:type="paragraph" w:styleId="11">
    <w:name w:val="Body Text Indent"/>
    <w:basedOn w:val="1"/>
    <w:link w:val="43"/>
    <w:qFormat/>
    <w:uiPriority w:val="0"/>
    <w:pPr>
      <w:spacing w:before="120" w:line="400" w:lineRule="exact"/>
      <w:ind w:firstLine="600"/>
    </w:pPr>
    <w:rPr>
      <w:sz w:val="28"/>
    </w:rPr>
  </w:style>
  <w:style w:type="paragraph" w:styleId="12">
    <w:name w:val="toc 5"/>
    <w:basedOn w:val="1"/>
    <w:next w:val="1"/>
    <w:semiHidden/>
    <w:qFormat/>
    <w:uiPriority w:val="0"/>
    <w:pPr>
      <w:ind w:left="840"/>
      <w:jc w:val="left"/>
    </w:pPr>
    <w:rPr>
      <w:sz w:val="18"/>
      <w:szCs w:val="18"/>
    </w:rPr>
  </w:style>
  <w:style w:type="paragraph" w:styleId="13">
    <w:name w:val="toc 3"/>
    <w:basedOn w:val="1"/>
    <w:next w:val="1"/>
    <w:qFormat/>
    <w:uiPriority w:val="39"/>
    <w:pPr>
      <w:tabs>
        <w:tab w:val="right" w:leader="dot" w:pos="8989"/>
      </w:tabs>
      <w:spacing w:line="440" w:lineRule="exact"/>
      <w:ind w:left="420"/>
      <w:jc w:val="left"/>
    </w:pPr>
    <w:rPr>
      <w:rFonts w:ascii="宋体" w:hAnsi="宋体"/>
      <w:b/>
      <w:bCs/>
      <w:iCs/>
      <w:szCs w:val="21"/>
    </w:rPr>
  </w:style>
  <w:style w:type="paragraph" w:styleId="14">
    <w:name w:val="toc 8"/>
    <w:basedOn w:val="1"/>
    <w:next w:val="1"/>
    <w:semiHidden/>
    <w:uiPriority w:val="0"/>
    <w:pPr>
      <w:ind w:left="1470"/>
      <w:jc w:val="left"/>
    </w:pPr>
    <w:rPr>
      <w:sz w:val="18"/>
      <w:szCs w:val="18"/>
    </w:rPr>
  </w:style>
  <w:style w:type="paragraph" w:styleId="15">
    <w:name w:val="Date"/>
    <w:basedOn w:val="1"/>
    <w:next w:val="1"/>
    <w:link w:val="44"/>
    <w:qFormat/>
    <w:uiPriority w:val="0"/>
    <w:pPr>
      <w:adjustRightInd w:val="0"/>
      <w:spacing w:line="312" w:lineRule="atLeast"/>
      <w:jc w:val="right"/>
      <w:textAlignment w:val="baseline"/>
    </w:pPr>
    <w:rPr>
      <w:kern w:val="0"/>
      <w:sz w:val="32"/>
    </w:rPr>
  </w:style>
  <w:style w:type="paragraph" w:styleId="16">
    <w:name w:val="Body Text Indent 2"/>
    <w:basedOn w:val="1"/>
    <w:link w:val="45"/>
    <w:qFormat/>
    <w:uiPriority w:val="0"/>
    <w:pPr>
      <w:autoSpaceDE w:val="0"/>
      <w:autoSpaceDN w:val="0"/>
      <w:adjustRightInd w:val="0"/>
      <w:spacing w:line="360" w:lineRule="auto"/>
      <w:ind w:left="560" w:firstLine="565"/>
      <w:jc w:val="left"/>
      <w:textAlignment w:val="baseline"/>
    </w:pPr>
    <w:rPr>
      <w:rFonts w:ascii="宋体"/>
      <w:kern w:val="0"/>
      <w:sz w:val="28"/>
    </w:rPr>
  </w:style>
  <w:style w:type="paragraph" w:styleId="17">
    <w:name w:val="Balloon Text"/>
    <w:basedOn w:val="1"/>
    <w:link w:val="46"/>
    <w:semiHidden/>
    <w:uiPriority w:val="0"/>
    <w:rPr>
      <w:sz w:val="18"/>
      <w:szCs w:val="18"/>
    </w:rPr>
  </w:style>
  <w:style w:type="paragraph" w:styleId="18">
    <w:name w:val="footer"/>
    <w:basedOn w:val="1"/>
    <w:link w:val="47"/>
    <w:qFormat/>
    <w:uiPriority w:val="0"/>
    <w:pPr>
      <w:tabs>
        <w:tab w:val="center" w:pos="4153"/>
        <w:tab w:val="right" w:pos="8306"/>
      </w:tabs>
      <w:autoSpaceDE w:val="0"/>
      <w:autoSpaceDN w:val="0"/>
      <w:adjustRightInd w:val="0"/>
      <w:jc w:val="left"/>
      <w:textAlignment w:val="baseline"/>
    </w:pPr>
    <w:rPr>
      <w:rFonts w:ascii="宋体"/>
      <w:kern w:val="0"/>
      <w:sz w:val="18"/>
    </w:rPr>
  </w:style>
  <w:style w:type="paragraph" w:styleId="19">
    <w:name w:val="header"/>
    <w:basedOn w:val="1"/>
    <w:link w:val="48"/>
    <w:qFormat/>
    <w:uiPriority w:val="0"/>
    <w:pPr>
      <w:pBdr>
        <w:bottom w:val="single" w:color="auto" w:sz="6" w:space="1"/>
      </w:pBdr>
      <w:tabs>
        <w:tab w:val="center" w:pos="4153"/>
        <w:tab w:val="right" w:pos="8306"/>
      </w:tabs>
      <w:autoSpaceDE w:val="0"/>
      <w:autoSpaceDN w:val="0"/>
      <w:adjustRightInd w:val="0"/>
      <w:jc w:val="center"/>
      <w:textAlignment w:val="baseline"/>
    </w:pPr>
    <w:rPr>
      <w:rFonts w:ascii="宋体"/>
      <w:kern w:val="0"/>
      <w:sz w:val="18"/>
    </w:rPr>
  </w:style>
  <w:style w:type="paragraph" w:styleId="20">
    <w:name w:val="toc 1"/>
    <w:basedOn w:val="1"/>
    <w:next w:val="1"/>
    <w:qFormat/>
    <w:uiPriority w:val="39"/>
    <w:pPr>
      <w:tabs>
        <w:tab w:val="right" w:leader="dot" w:pos="8989"/>
      </w:tabs>
      <w:spacing w:line="440" w:lineRule="exact"/>
    </w:pPr>
    <w:rPr>
      <w:rFonts w:ascii="宋体" w:hAnsi="宋体"/>
      <w:b/>
      <w:bCs/>
      <w:caps/>
      <w:szCs w:val="21"/>
    </w:rPr>
  </w:style>
  <w:style w:type="paragraph" w:styleId="21">
    <w:name w:val="toc 4"/>
    <w:basedOn w:val="1"/>
    <w:next w:val="1"/>
    <w:qFormat/>
    <w:uiPriority w:val="39"/>
    <w:pPr>
      <w:ind w:left="630"/>
      <w:jc w:val="left"/>
    </w:pPr>
    <w:rPr>
      <w:sz w:val="18"/>
      <w:szCs w:val="18"/>
    </w:rPr>
  </w:style>
  <w:style w:type="paragraph" w:styleId="22">
    <w:name w:val="toc 6"/>
    <w:basedOn w:val="1"/>
    <w:next w:val="1"/>
    <w:semiHidden/>
    <w:qFormat/>
    <w:uiPriority w:val="0"/>
    <w:pPr>
      <w:ind w:left="1050"/>
      <w:jc w:val="left"/>
    </w:pPr>
    <w:rPr>
      <w:sz w:val="18"/>
      <w:szCs w:val="18"/>
    </w:rPr>
  </w:style>
  <w:style w:type="paragraph" w:styleId="23">
    <w:name w:val="Body Text Indent 3"/>
    <w:basedOn w:val="1"/>
    <w:link w:val="49"/>
    <w:qFormat/>
    <w:uiPriority w:val="0"/>
    <w:pPr>
      <w:autoSpaceDE w:val="0"/>
      <w:autoSpaceDN w:val="0"/>
      <w:adjustRightInd w:val="0"/>
      <w:spacing w:line="360" w:lineRule="auto"/>
      <w:ind w:left="560"/>
      <w:jc w:val="left"/>
      <w:textAlignment w:val="baseline"/>
    </w:pPr>
    <w:rPr>
      <w:rFonts w:ascii="宋体"/>
      <w:kern w:val="0"/>
      <w:sz w:val="28"/>
    </w:rPr>
  </w:style>
  <w:style w:type="paragraph" w:styleId="24">
    <w:name w:val="toc 2"/>
    <w:basedOn w:val="1"/>
    <w:next w:val="1"/>
    <w:qFormat/>
    <w:uiPriority w:val="39"/>
    <w:pPr>
      <w:ind w:left="210"/>
      <w:jc w:val="left"/>
    </w:pPr>
    <w:rPr>
      <w:smallCaps/>
      <w:sz w:val="20"/>
    </w:rPr>
  </w:style>
  <w:style w:type="paragraph" w:styleId="25">
    <w:name w:val="toc 9"/>
    <w:basedOn w:val="1"/>
    <w:next w:val="1"/>
    <w:semiHidden/>
    <w:qFormat/>
    <w:uiPriority w:val="0"/>
    <w:pPr>
      <w:ind w:left="1680"/>
      <w:jc w:val="left"/>
    </w:pPr>
    <w:rPr>
      <w:sz w:val="18"/>
      <w:szCs w:val="18"/>
    </w:rPr>
  </w:style>
  <w:style w:type="paragraph" w:styleId="26">
    <w:name w:val="Body Text 2"/>
    <w:basedOn w:val="1"/>
    <w:link w:val="50"/>
    <w:qFormat/>
    <w:uiPriority w:val="0"/>
    <w:rPr>
      <w:rFonts w:ascii="仿宋_GB2312" w:eastAsia="仿宋_GB2312"/>
      <w:b/>
      <w:bCs/>
      <w:spacing w:val="20"/>
      <w:sz w:val="28"/>
    </w:rPr>
  </w:style>
  <w:style w:type="paragraph" w:styleId="2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8">
    <w:name w:val="annotation subject"/>
    <w:basedOn w:val="8"/>
    <w:next w:val="8"/>
    <w:link w:val="51"/>
    <w:qFormat/>
    <w:uiPriority w:val="0"/>
    <w:rPr>
      <w:b/>
      <w:bCs/>
    </w:rPr>
  </w:style>
  <w:style w:type="table" w:styleId="30">
    <w:name w:val="Table Grid"/>
    <w:basedOn w:val="29"/>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2">
    <w:name w:val="Strong"/>
    <w:basedOn w:val="31"/>
    <w:qFormat/>
    <w:uiPriority w:val="22"/>
    <w:rPr>
      <w:b/>
      <w:bCs/>
    </w:rPr>
  </w:style>
  <w:style w:type="character" w:styleId="33">
    <w:name w:val="page number"/>
    <w:basedOn w:val="31"/>
    <w:uiPriority w:val="0"/>
  </w:style>
  <w:style w:type="character" w:styleId="34">
    <w:name w:val="Hyperlink"/>
    <w:basedOn w:val="31"/>
    <w:uiPriority w:val="99"/>
    <w:rPr>
      <w:color w:val="0000FF"/>
      <w:u w:val="none"/>
    </w:rPr>
  </w:style>
  <w:style w:type="character" w:styleId="35">
    <w:name w:val="annotation reference"/>
    <w:basedOn w:val="31"/>
    <w:uiPriority w:val="0"/>
    <w:rPr>
      <w:sz w:val="21"/>
      <w:szCs w:val="21"/>
    </w:rPr>
  </w:style>
  <w:style w:type="character" w:customStyle="1" w:styleId="36">
    <w:name w:val="标题 2 字符"/>
    <w:basedOn w:val="31"/>
    <w:link w:val="2"/>
    <w:qFormat/>
    <w:uiPriority w:val="0"/>
    <w:rPr>
      <w:rFonts w:ascii="Cambria" w:hAnsi="Cambria" w:eastAsia="宋体" w:cs="宋体"/>
      <w:b/>
      <w:bCs/>
      <w:sz w:val="32"/>
      <w:szCs w:val="32"/>
    </w:rPr>
  </w:style>
  <w:style w:type="character" w:customStyle="1" w:styleId="37">
    <w:name w:val="标题 3 字符"/>
    <w:basedOn w:val="31"/>
    <w:link w:val="3"/>
    <w:uiPriority w:val="0"/>
    <w:rPr>
      <w:rFonts w:ascii="宋体" w:hAnsi="宋体" w:eastAsia="宋体" w:cs="Times New Roman"/>
      <w:b/>
      <w:bCs/>
      <w:kern w:val="0"/>
      <w:sz w:val="28"/>
      <w:szCs w:val="32"/>
    </w:rPr>
  </w:style>
  <w:style w:type="character" w:customStyle="1" w:styleId="38">
    <w:name w:val="标题 4 字符"/>
    <w:basedOn w:val="31"/>
    <w:link w:val="4"/>
    <w:semiHidden/>
    <w:uiPriority w:val="0"/>
    <w:rPr>
      <w:rFonts w:ascii="Cambria" w:hAnsi="Cambria" w:eastAsia="宋体" w:cs="Times New Roman"/>
      <w:b/>
      <w:bCs/>
      <w:sz w:val="28"/>
      <w:szCs w:val="28"/>
    </w:rPr>
  </w:style>
  <w:style w:type="character" w:customStyle="1" w:styleId="39">
    <w:name w:val="文档结构图 字符"/>
    <w:basedOn w:val="31"/>
    <w:link w:val="7"/>
    <w:uiPriority w:val="0"/>
    <w:rPr>
      <w:rFonts w:ascii="宋体" w:hAnsi="Times New Roman" w:eastAsia="宋体" w:cs="Times New Roman"/>
      <w:sz w:val="18"/>
      <w:szCs w:val="18"/>
    </w:rPr>
  </w:style>
  <w:style w:type="character" w:customStyle="1" w:styleId="40">
    <w:name w:val="批注文字 字符"/>
    <w:basedOn w:val="31"/>
    <w:link w:val="8"/>
    <w:qFormat/>
    <w:uiPriority w:val="0"/>
    <w:rPr>
      <w:rFonts w:ascii="Times New Roman" w:hAnsi="Times New Roman" w:eastAsia="宋体" w:cs="Times New Roman"/>
      <w:szCs w:val="20"/>
    </w:rPr>
  </w:style>
  <w:style w:type="character" w:customStyle="1" w:styleId="41">
    <w:name w:val="正文文本 3 字符"/>
    <w:basedOn w:val="31"/>
    <w:link w:val="9"/>
    <w:qFormat/>
    <w:uiPriority w:val="0"/>
    <w:rPr>
      <w:rFonts w:ascii="Times New Roman" w:hAnsi="Times New Roman" w:eastAsia="仿宋_GB2312" w:cs="Times New Roman"/>
      <w:sz w:val="28"/>
      <w:szCs w:val="20"/>
    </w:rPr>
  </w:style>
  <w:style w:type="character" w:customStyle="1" w:styleId="42">
    <w:name w:val="正文文本 字符"/>
    <w:basedOn w:val="31"/>
    <w:link w:val="10"/>
    <w:uiPriority w:val="0"/>
    <w:rPr>
      <w:rFonts w:ascii="仿宋_GB2312" w:hAnsi="Times New Roman" w:eastAsia="仿宋_GB2312" w:cs="Times New Roman"/>
      <w:sz w:val="32"/>
      <w:szCs w:val="20"/>
    </w:rPr>
  </w:style>
  <w:style w:type="character" w:customStyle="1" w:styleId="43">
    <w:name w:val="正文文本缩进 字符"/>
    <w:basedOn w:val="31"/>
    <w:link w:val="11"/>
    <w:uiPriority w:val="0"/>
    <w:rPr>
      <w:rFonts w:ascii="Times New Roman" w:hAnsi="Times New Roman" w:eastAsia="宋体" w:cs="Times New Roman"/>
      <w:sz w:val="28"/>
      <w:szCs w:val="20"/>
    </w:rPr>
  </w:style>
  <w:style w:type="character" w:customStyle="1" w:styleId="44">
    <w:name w:val="日期 字符"/>
    <w:basedOn w:val="31"/>
    <w:link w:val="15"/>
    <w:qFormat/>
    <w:uiPriority w:val="0"/>
    <w:rPr>
      <w:rFonts w:ascii="Times New Roman" w:hAnsi="Times New Roman" w:eastAsia="宋体" w:cs="Times New Roman"/>
      <w:kern w:val="0"/>
      <w:sz w:val="32"/>
      <w:szCs w:val="20"/>
    </w:rPr>
  </w:style>
  <w:style w:type="character" w:customStyle="1" w:styleId="45">
    <w:name w:val="正文文本缩进 2 字符"/>
    <w:basedOn w:val="31"/>
    <w:link w:val="16"/>
    <w:uiPriority w:val="0"/>
    <w:rPr>
      <w:rFonts w:ascii="宋体" w:hAnsi="Times New Roman" w:eastAsia="宋体" w:cs="Times New Roman"/>
      <w:kern w:val="0"/>
      <w:sz w:val="28"/>
      <w:szCs w:val="20"/>
    </w:rPr>
  </w:style>
  <w:style w:type="character" w:customStyle="1" w:styleId="46">
    <w:name w:val="批注框文本 字符"/>
    <w:basedOn w:val="31"/>
    <w:link w:val="17"/>
    <w:semiHidden/>
    <w:uiPriority w:val="0"/>
    <w:rPr>
      <w:rFonts w:ascii="Times New Roman" w:hAnsi="Times New Roman" w:eastAsia="宋体" w:cs="Times New Roman"/>
      <w:sz w:val="18"/>
      <w:szCs w:val="18"/>
    </w:rPr>
  </w:style>
  <w:style w:type="character" w:customStyle="1" w:styleId="47">
    <w:name w:val="页脚 字符"/>
    <w:basedOn w:val="31"/>
    <w:link w:val="18"/>
    <w:uiPriority w:val="0"/>
    <w:rPr>
      <w:rFonts w:ascii="宋体" w:hAnsi="Times New Roman" w:eastAsia="宋体" w:cs="Times New Roman"/>
      <w:kern w:val="0"/>
      <w:sz w:val="18"/>
      <w:szCs w:val="20"/>
    </w:rPr>
  </w:style>
  <w:style w:type="character" w:customStyle="1" w:styleId="48">
    <w:name w:val="页眉 字符"/>
    <w:basedOn w:val="31"/>
    <w:link w:val="19"/>
    <w:uiPriority w:val="0"/>
    <w:rPr>
      <w:rFonts w:ascii="宋体" w:hAnsi="Times New Roman" w:eastAsia="宋体" w:cs="Times New Roman"/>
      <w:kern w:val="0"/>
      <w:sz w:val="18"/>
      <w:szCs w:val="20"/>
    </w:rPr>
  </w:style>
  <w:style w:type="character" w:customStyle="1" w:styleId="49">
    <w:name w:val="正文文本缩进 3 字符"/>
    <w:basedOn w:val="31"/>
    <w:link w:val="23"/>
    <w:uiPriority w:val="0"/>
    <w:rPr>
      <w:rFonts w:ascii="宋体" w:hAnsi="Times New Roman" w:eastAsia="宋体" w:cs="Times New Roman"/>
      <w:kern w:val="0"/>
      <w:sz w:val="28"/>
      <w:szCs w:val="20"/>
    </w:rPr>
  </w:style>
  <w:style w:type="character" w:customStyle="1" w:styleId="50">
    <w:name w:val="正文文本 2 字符"/>
    <w:basedOn w:val="31"/>
    <w:link w:val="26"/>
    <w:uiPriority w:val="0"/>
    <w:rPr>
      <w:rFonts w:ascii="仿宋_GB2312" w:hAnsi="Times New Roman" w:eastAsia="仿宋_GB2312" w:cs="Times New Roman"/>
      <w:b/>
      <w:bCs/>
      <w:spacing w:val="20"/>
      <w:sz w:val="28"/>
      <w:szCs w:val="20"/>
    </w:rPr>
  </w:style>
  <w:style w:type="character" w:customStyle="1" w:styleId="51">
    <w:name w:val="批注主题 字符"/>
    <w:basedOn w:val="40"/>
    <w:link w:val="28"/>
    <w:uiPriority w:val="0"/>
    <w:rPr>
      <w:rFonts w:ascii="Times New Roman" w:hAnsi="Times New Roman" w:eastAsia="宋体" w:cs="Times New Roman"/>
      <w:b/>
      <w:bCs/>
      <w:szCs w:val="20"/>
    </w:rPr>
  </w:style>
  <w:style w:type="paragraph" w:customStyle="1" w:styleId="52">
    <w:name w:val="Char Char Char Char"/>
    <w:basedOn w:val="1"/>
    <w:qFormat/>
    <w:uiPriority w:val="0"/>
    <w:rPr>
      <w:rFonts w:ascii="Tahoma" w:hAnsi="Tahoma"/>
      <w:sz w:val="24"/>
    </w:rPr>
  </w:style>
  <w:style w:type="paragraph" w:customStyle="1" w:styleId="53">
    <w:name w:val="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4">
    <w:name w:val="Char"/>
    <w:basedOn w:val="1"/>
    <w:uiPriority w:val="0"/>
    <w:pPr>
      <w:widowControl/>
      <w:spacing w:after="160" w:line="240" w:lineRule="exact"/>
      <w:jc w:val="left"/>
    </w:pPr>
    <w:rPr>
      <w:rFonts w:ascii="Verdana" w:hAnsi="Verdana" w:eastAsia="仿宋_GB2312"/>
      <w:kern w:val="0"/>
      <w:sz w:val="24"/>
      <w:lang w:eastAsia="en-US"/>
    </w:rPr>
  </w:style>
  <w:style w:type="paragraph" w:customStyle="1" w:styleId="55">
    <w:name w:val="Char1"/>
    <w:basedOn w:val="1"/>
    <w:uiPriority w:val="0"/>
    <w:pPr>
      <w:adjustRightInd w:val="0"/>
      <w:spacing w:line="360" w:lineRule="auto"/>
    </w:pPr>
    <w:rPr>
      <w:kern w:val="0"/>
      <w:sz w:val="24"/>
    </w:rPr>
  </w:style>
  <w:style w:type="paragraph" w:customStyle="1" w:styleId="56">
    <w:name w:val="Char Char1"/>
    <w:basedOn w:val="1"/>
    <w:uiPriority w:val="0"/>
    <w:rPr>
      <w:rFonts w:ascii="Tahoma" w:hAnsi="Tahoma" w:cs="Tahoma"/>
      <w:sz w:val="24"/>
      <w:szCs w:val="24"/>
    </w:rPr>
  </w:style>
  <w:style w:type="character" w:customStyle="1" w:styleId="57">
    <w:name w:val="headline-content2"/>
    <w:basedOn w:val="31"/>
    <w:uiPriority w:val="0"/>
  </w:style>
  <w:style w:type="paragraph" w:customStyle="1" w:styleId="58">
    <w:name w:val="Char Char11"/>
    <w:basedOn w:val="1"/>
    <w:uiPriority w:val="0"/>
    <w:rPr>
      <w:rFonts w:ascii="Tahoma" w:hAnsi="Tahoma" w:cs="Tahoma"/>
      <w:sz w:val="24"/>
      <w:szCs w:val="24"/>
    </w:rPr>
  </w:style>
  <w:style w:type="paragraph" w:customStyle="1" w:styleId="59">
    <w:name w:val="Char Char Char Char Char Char Char"/>
    <w:basedOn w:val="1"/>
    <w:uiPriority w:val="0"/>
    <w:pPr>
      <w:widowControl/>
      <w:spacing w:after="160" w:line="240" w:lineRule="exact"/>
      <w:jc w:val="left"/>
    </w:pPr>
    <w:rPr>
      <w:rFonts w:ascii="Verdana" w:hAnsi="Verdana" w:eastAsia="仿宋_GB2312"/>
      <w:kern w:val="0"/>
      <w:sz w:val="24"/>
      <w:lang w:eastAsia="en-US"/>
    </w:rPr>
  </w:style>
  <w:style w:type="paragraph" w:customStyle="1" w:styleId="60">
    <w:name w:val="Char Char Char Char Char Char Char1"/>
    <w:basedOn w:val="1"/>
    <w:uiPriority w:val="0"/>
    <w:pPr>
      <w:widowControl/>
      <w:spacing w:after="160" w:line="240" w:lineRule="exact"/>
      <w:jc w:val="left"/>
    </w:pPr>
    <w:rPr>
      <w:rFonts w:ascii="Verdana" w:hAnsi="Verdana" w:eastAsia="仿宋_GB2312"/>
      <w:kern w:val="0"/>
      <w:sz w:val="24"/>
      <w:lang w:eastAsia="en-US"/>
    </w:rPr>
  </w:style>
  <w:style w:type="paragraph" w:styleId="61">
    <w:name w:val="List Paragraph"/>
    <w:basedOn w:val="1"/>
    <w:qFormat/>
    <w:uiPriority w:val="34"/>
    <w:pPr>
      <w:ind w:firstLine="420" w:firstLineChars="200"/>
    </w:pPr>
  </w:style>
  <w:style w:type="character" w:customStyle="1" w:styleId="62">
    <w:name w:val="标题 3 Char"/>
    <w:basedOn w:val="31"/>
    <w:semiHidden/>
    <w:uiPriority w:val="0"/>
    <w:rPr>
      <w:b/>
      <w:bCs/>
      <w:kern w:val="2"/>
      <w:sz w:val="32"/>
      <w:szCs w:val="32"/>
    </w:rPr>
  </w:style>
  <w:style w:type="character" w:customStyle="1" w:styleId="63">
    <w:name w:val="正文缩进 字符"/>
    <w:basedOn w:val="31"/>
    <w:link w:val="6"/>
    <w:uiPriority w:val="0"/>
    <w:rPr>
      <w:rFonts w:ascii="Times New Roman" w:hAnsi="Times New Roman" w:eastAsia="宋体" w:cs="Times New Roman"/>
      <w:szCs w:val="24"/>
    </w:rPr>
  </w:style>
  <w:style w:type="paragraph" w:customStyle="1" w:styleId="64">
    <w:name w:val="列出段落11"/>
    <w:basedOn w:val="1"/>
    <w:qFormat/>
    <w:uiPriority w:val="34"/>
    <w:pPr>
      <w:spacing w:line="400" w:lineRule="exact"/>
      <w:ind w:firstLine="420"/>
    </w:pPr>
    <w:rPr>
      <w:rFonts w:ascii="Arial" w:hAnsi="Arial"/>
      <w:szCs w:val="24"/>
    </w:rPr>
  </w:style>
  <w:style w:type="paragraph" w:customStyle="1" w:styleId="65">
    <w:name w:val="列出段落1"/>
    <w:basedOn w:val="1"/>
    <w:qFormat/>
    <w:uiPriority w:val="34"/>
    <w:pPr>
      <w:ind w:firstLine="420" w:firstLineChars="200"/>
    </w:pPr>
    <w:rPr>
      <w:rFonts w:ascii="Calibri" w:hAnsi="Calibri"/>
      <w:szCs w:val="22"/>
    </w:rPr>
  </w:style>
  <w:style w:type="paragraph" w:customStyle="1" w:styleId="66">
    <w:name w:val="msolistparagraph"/>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3019</Words>
  <Characters>17214</Characters>
  <Lines>143</Lines>
  <Paragraphs>40</Paragraphs>
  <TotalTime>0</TotalTime>
  <ScaleCrop>false</ScaleCrop>
  <LinksUpToDate>false</LinksUpToDate>
  <CharactersWithSpaces>20193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2019-09-03T02:50:00Z</dcterms:created>
  <dc:creator>lenovo</dc:creator>
  <cp:lastModifiedBy>Calm</cp:lastModifiedBy>
  <dcterms:modified xsi:type="dcterms:W3CDTF">2019-10-09T10:03:42Z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