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17" w:rsidRPr="00BC7817" w:rsidRDefault="00BC7817" w:rsidP="00BC7817">
      <w:pPr>
        <w:spacing w:line="380" w:lineRule="exact"/>
        <w:jc w:val="center"/>
        <w:rPr>
          <w:rFonts w:ascii="Times New Roman" w:eastAsia="黑体" w:hAnsi="Times New Roman" w:cs="Times New Roman"/>
          <w:sz w:val="32"/>
          <w:szCs w:val="32"/>
        </w:rPr>
      </w:pPr>
      <w:r w:rsidRPr="00BC7817">
        <w:rPr>
          <w:rFonts w:ascii="Times New Roman" w:eastAsia="黑体" w:hAnsi="Times New Roman" w:cs="Times New Roman"/>
          <w:sz w:val="32"/>
          <w:szCs w:val="32"/>
        </w:rPr>
        <w:t>第二章</w:t>
      </w:r>
      <w:r w:rsidRPr="00BC7817">
        <w:rPr>
          <w:rFonts w:ascii="Times New Roman" w:eastAsia="黑体" w:hAnsi="Times New Roman" w:cs="Times New Roman"/>
          <w:sz w:val="32"/>
          <w:szCs w:val="32"/>
        </w:rPr>
        <w:t xml:space="preserve"> </w:t>
      </w:r>
      <w:r w:rsidRPr="00BC7817">
        <w:rPr>
          <w:rFonts w:ascii="Times New Roman" w:eastAsia="黑体" w:hAnsi="Times New Roman" w:cs="Times New Roman"/>
          <w:sz w:val="32"/>
          <w:szCs w:val="32"/>
        </w:rPr>
        <w:t>需求一览表及需求明细</w:t>
      </w:r>
    </w:p>
    <w:p w:rsidR="00BC7817" w:rsidRPr="00BC7817" w:rsidRDefault="00BC7817" w:rsidP="00BC7817">
      <w:pPr>
        <w:tabs>
          <w:tab w:val="right" w:leader="dot" w:pos="8303"/>
        </w:tabs>
        <w:spacing w:line="440" w:lineRule="exact"/>
        <w:jc w:val="center"/>
        <w:outlineLvl w:val="1"/>
        <w:rPr>
          <w:rFonts w:ascii="黑体" w:eastAsia="黑体" w:hAnsi="黑体" w:cs="Times New Roman" w:hint="eastAsia"/>
          <w:bCs/>
          <w:caps/>
          <w:noProof/>
          <w:sz w:val="24"/>
          <w:szCs w:val="24"/>
        </w:rPr>
      </w:pPr>
      <w:bookmarkStart w:id="0" w:name="_Toc333420703"/>
    </w:p>
    <w:p w:rsidR="00BC7817" w:rsidRPr="00BC7817" w:rsidRDefault="00BC7817" w:rsidP="00BC7817">
      <w:pPr>
        <w:tabs>
          <w:tab w:val="right" w:leader="dot" w:pos="8303"/>
        </w:tabs>
        <w:spacing w:line="440" w:lineRule="exact"/>
        <w:jc w:val="center"/>
        <w:outlineLvl w:val="1"/>
        <w:rPr>
          <w:rFonts w:ascii="黑体" w:eastAsia="黑体" w:hAnsi="黑体" w:cs="Times New Roman" w:hint="eastAsia"/>
          <w:bCs/>
          <w:caps/>
          <w:noProof/>
          <w:sz w:val="24"/>
          <w:szCs w:val="24"/>
        </w:rPr>
      </w:pPr>
      <w:r w:rsidRPr="00BC7817">
        <w:rPr>
          <w:rFonts w:ascii="黑体" w:eastAsia="黑体" w:hAnsi="黑体" w:cs="Times New Roman" w:hint="eastAsia"/>
          <w:bCs/>
          <w:caps/>
          <w:noProof/>
          <w:sz w:val="24"/>
          <w:szCs w:val="24"/>
        </w:rPr>
        <w:t>第一节  需求一览表</w:t>
      </w:r>
      <w:bookmarkEnd w:id="0"/>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4"/>
        <w:gridCol w:w="4313"/>
        <w:gridCol w:w="1364"/>
        <w:gridCol w:w="1380"/>
      </w:tblGrid>
      <w:tr w:rsidR="00BC7817" w:rsidRPr="00BC7817" w:rsidTr="002B2487">
        <w:tblPrEx>
          <w:tblCellMar>
            <w:top w:w="0" w:type="dxa"/>
            <w:bottom w:w="0" w:type="dxa"/>
          </w:tblCellMar>
        </w:tblPrEx>
        <w:trPr>
          <w:trHeight w:val="454"/>
          <w:jc w:val="center"/>
        </w:trPr>
        <w:tc>
          <w:tcPr>
            <w:tcW w:w="790" w:type="pct"/>
            <w:vAlign w:val="center"/>
          </w:tcPr>
          <w:p w:rsidR="00BC7817" w:rsidRPr="00BC7817" w:rsidRDefault="00BC7817" w:rsidP="00BC7817">
            <w:pPr>
              <w:jc w:val="center"/>
              <w:rPr>
                <w:rFonts w:ascii="宋体" w:eastAsia="宋体" w:hAnsi="宋体" w:cs="Times New Roman"/>
                <w:b/>
                <w:szCs w:val="24"/>
              </w:rPr>
            </w:pPr>
            <w:r w:rsidRPr="00BC7817">
              <w:rPr>
                <w:rFonts w:ascii="宋体" w:eastAsia="宋体" w:hAnsi="宋体" w:cs="Times New Roman"/>
                <w:b/>
                <w:szCs w:val="24"/>
              </w:rPr>
              <w:t>序号</w:t>
            </w:r>
          </w:p>
        </w:tc>
        <w:tc>
          <w:tcPr>
            <w:tcW w:w="2573" w:type="pct"/>
            <w:vAlign w:val="center"/>
          </w:tcPr>
          <w:p w:rsidR="00BC7817" w:rsidRPr="00BC7817" w:rsidRDefault="00BC7817" w:rsidP="00BC7817">
            <w:pPr>
              <w:jc w:val="center"/>
              <w:rPr>
                <w:rFonts w:ascii="宋体" w:eastAsia="宋体" w:hAnsi="宋体" w:cs="Times New Roman"/>
                <w:b/>
                <w:szCs w:val="24"/>
              </w:rPr>
            </w:pPr>
            <w:r w:rsidRPr="00BC7817">
              <w:rPr>
                <w:rFonts w:ascii="宋体" w:eastAsia="宋体" w:hAnsi="宋体" w:cs="Times New Roman"/>
                <w:b/>
                <w:szCs w:val="24"/>
              </w:rPr>
              <w:t>产品或服务名称</w:t>
            </w:r>
          </w:p>
        </w:tc>
        <w:tc>
          <w:tcPr>
            <w:tcW w:w="814" w:type="pct"/>
            <w:vAlign w:val="center"/>
          </w:tcPr>
          <w:p w:rsidR="00BC7817" w:rsidRPr="00BC7817" w:rsidRDefault="00BC7817" w:rsidP="00BC7817">
            <w:pPr>
              <w:jc w:val="center"/>
              <w:rPr>
                <w:rFonts w:ascii="宋体" w:eastAsia="宋体" w:hAnsi="宋体" w:cs="Times New Roman"/>
                <w:b/>
                <w:szCs w:val="24"/>
              </w:rPr>
            </w:pPr>
            <w:r w:rsidRPr="00BC7817">
              <w:rPr>
                <w:rFonts w:ascii="宋体" w:eastAsia="宋体" w:hAnsi="宋体" w:cs="Times New Roman"/>
                <w:b/>
                <w:szCs w:val="24"/>
              </w:rPr>
              <w:t>数量</w:t>
            </w:r>
          </w:p>
        </w:tc>
        <w:tc>
          <w:tcPr>
            <w:tcW w:w="823" w:type="pct"/>
            <w:vAlign w:val="center"/>
          </w:tcPr>
          <w:p w:rsidR="00BC7817" w:rsidRPr="00BC7817" w:rsidRDefault="00BC7817" w:rsidP="00BC7817">
            <w:pPr>
              <w:jc w:val="center"/>
              <w:rPr>
                <w:rFonts w:ascii="宋体" w:eastAsia="宋体" w:hAnsi="宋体" w:cs="Times New Roman"/>
                <w:b/>
                <w:szCs w:val="24"/>
              </w:rPr>
            </w:pPr>
            <w:r w:rsidRPr="00BC7817">
              <w:rPr>
                <w:rFonts w:ascii="宋体" w:eastAsia="宋体" w:hAnsi="宋体" w:cs="Times New Roman"/>
                <w:b/>
                <w:szCs w:val="24"/>
              </w:rPr>
              <w:t>单位</w:t>
            </w:r>
          </w:p>
        </w:tc>
      </w:tr>
      <w:tr w:rsidR="00BC7817" w:rsidRPr="00BC7817" w:rsidTr="002B2487">
        <w:tblPrEx>
          <w:tblCellMar>
            <w:top w:w="0" w:type="dxa"/>
            <w:bottom w:w="0" w:type="dxa"/>
          </w:tblCellMar>
        </w:tblPrEx>
        <w:trPr>
          <w:trHeight w:val="454"/>
          <w:jc w:val="center"/>
        </w:trPr>
        <w:tc>
          <w:tcPr>
            <w:tcW w:w="790" w:type="pct"/>
            <w:vAlign w:val="center"/>
          </w:tcPr>
          <w:p w:rsidR="00BC7817" w:rsidRPr="00BC7817" w:rsidRDefault="00BC7817" w:rsidP="00BC7817">
            <w:pPr>
              <w:jc w:val="center"/>
              <w:rPr>
                <w:rFonts w:ascii="宋体" w:eastAsia="宋体" w:hAnsi="宋体" w:cs="Times New Roman"/>
                <w:szCs w:val="24"/>
              </w:rPr>
            </w:pPr>
            <w:r w:rsidRPr="00BC7817">
              <w:rPr>
                <w:rFonts w:ascii="宋体" w:eastAsia="宋体" w:hAnsi="宋体" w:cs="Times New Roman"/>
                <w:szCs w:val="24"/>
              </w:rPr>
              <w:t>1</w:t>
            </w:r>
          </w:p>
        </w:tc>
        <w:tc>
          <w:tcPr>
            <w:tcW w:w="2573" w:type="pct"/>
            <w:vAlign w:val="center"/>
          </w:tcPr>
          <w:p w:rsidR="00BC7817" w:rsidRPr="00BC7817" w:rsidRDefault="00BC7817" w:rsidP="00BC7817">
            <w:pPr>
              <w:jc w:val="center"/>
              <w:rPr>
                <w:rFonts w:ascii="宋体" w:eastAsia="宋体" w:hAnsi="宋体" w:cs="Times New Roman"/>
                <w:szCs w:val="24"/>
              </w:rPr>
            </w:pPr>
            <w:r w:rsidRPr="00BC7817">
              <w:rPr>
                <w:rFonts w:ascii="宋体" w:eastAsia="宋体" w:hAnsi="宋体" w:cs="Times New Roman" w:hint="eastAsia"/>
                <w:szCs w:val="24"/>
              </w:rPr>
              <w:t>遗体收殓袋采购</w:t>
            </w:r>
          </w:p>
        </w:tc>
        <w:tc>
          <w:tcPr>
            <w:tcW w:w="814" w:type="pct"/>
            <w:vAlign w:val="center"/>
          </w:tcPr>
          <w:p w:rsidR="00BC7817" w:rsidRPr="00BC7817" w:rsidRDefault="00BC7817" w:rsidP="00BC7817">
            <w:pPr>
              <w:jc w:val="center"/>
              <w:rPr>
                <w:rFonts w:ascii="宋体" w:eastAsia="宋体" w:hAnsi="宋体" w:cs="Times New Roman"/>
                <w:szCs w:val="24"/>
              </w:rPr>
            </w:pPr>
            <w:r w:rsidRPr="00BC7817">
              <w:rPr>
                <w:rFonts w:ascii="宋体" w:eastAsia="宋体" w:hAnsi="宋体" w:cs="Times New Roman"/>
                <w:szCs w:val="24"/>
              </w:rPr>
              <w:t>10000</w:t>
            </w:r>
          </w:p>
        </w:tc>
        <w:tc>
          <w:tcPr>
            <w:tcW w:w="823" w:type="pct"/>
            <w:vAlign w:val="center"/>
          </w:tcPr>
          <w:p w:rsidR="00BC7817" w:rsidRPr="00BC7817" w:rsidRDefault="00BC7817" w:rsidP="00BC7817">
            <w:pPr>
              <w:jc w:val="center"/>
              <w:rPr>
                <w:rFonts w:ascii="宋体" w:eastAsia="宋体" w:hAnsi="宋体" w:cs="Times New Roman"/>
                <w:szCs w:val="24"/>
              </w:rPr>
            </w:pPr>
            <w:r w:rsidRPr="00BC7817">
              <w:rPr>
                <w:rFonts w:ascii="宋体" w:eastAsia="宋体" w:hAnsi="宋体" w:cs="Times New Roman" w:hint="eastAsia"/>
                <w:szCs w:val="24"/>
              </w:rPr>
              <w:t>个</w:t>
            </w:r>
          </w:p>
        </w:tc>
      </w:tr>
    </w:tbl>
    <w:p w:rsidR="00BC7817" w:rsidRPr="00BC7817" w:rsidRDefault="00BC7817" w:rsidP="00BC7817">
      <w:pPr>
        <w:spacing w:line="360" w:lineRule="exact"/>
        <w:rPr>
          <w:rFonts w:ascii="宋体" w:eastAsia="宋体" w:hAnsi="宋体" w:cs="Times New Roman"/>
          <w:b/>
          <w:bCs/>
          <w:szCs w:val="24"/>
        </w:rPr>
      </w:pPr>
      <w:bookmarkStart w:id="1" w:name="_Toc164071665"/>
      <w:r w:rsidRPr="00BC7817">
        <w:rPr>
          <w:rFonts w:ascii="宋体" w:eastAsia="宋体" w:hAnsi="宋体" w:cs="Times New Roman"/>
          <w:b/>
          <w:bCs/>
          <w:szCs w:val="24"/>
        </w:rPr>
        <w:t>特别说明：</w:t>
      </w:r>
    </w:p>
    <w:p w:rsidR="00BC7817" w:rsidRPr="00BC7817" w:rsidRDefault="00BC7817" w:rsidP="00BC7817">
      <w:pPr>
        <w:spacing w:line="360" w:lineRule="exact"/>
        <w:ind w:firstLineChars="200" w:firstLine="420"/>
        <w:rPr>
          <w:rFonts w:ascii="宋体" w:eastAsia="宋体" w:hAnsi="宋体" w:cs="Times New Roman" w:hint="eastAsia"/>
          <w:bCs/>
          <w:szCs w:val="21"/>
        </w:rPr>
      </w:pPr>
      <w:r w:rsidRPr="00BC7817">
        <w:rPr>
          <w:rFonts w:ascii="宋体" w:eastAsia="宋体" w:hAnsi="宋体" w:cs="Times New Roman" w:hint="eastAsia"/>
          <w:szCs w:val="21"/>
        </w:rPr>
        <w:t>1、投标人可对本招标文件中采购项目所列的所有采购项目进行投标，也可只对其中一个或几个分包进行投标（如有的话），但不得将一个包中的内容拆开投标，否则将导致其投标被拒绝。</w:t>
      </w:r>
      <w:r w:rsidRPr="00BC7817">
        <w:rPr>
          <w:rFonts w:ascii="宋体" w:eastAsia="宋体" w:hAnsi="宋体" w:cs="Times New Roman" w:hint="eastAsia"/>
          <w:bCs/>
          <w:szCs w:val="21"/>
        </w:rPr>
        <w:t>投标人须认真填写第五章的偏离表，偏离表将作为重要的评标依据。</w:t>
      </w:r>
    </w:p>
    <w:p w:rsidR="00BC7817" w:rsidRPr="00BC7817" w:rsidRDefault="00BC7817" w:rsidP="00BC7817">
      <w:pPr>
        <w:spacing w:line="360" w:lineRule="exact"/>
        <w:ind w:firstLineChars="200" w:firstLine="422"/>
        <w:rPr>
          <w:rFonts w:ascii="宋体" w:eastAsia="宋体" w:hAnsi="宋体" w:cs="Times New Roman" w:hint="eastAsia"/>
          <w:bCs/>
          <w:szCs w:val="21"/>
        </w:rPr>
      </w:pPr>
      <w:r w:rsidRPr="00BC7817">
        <w:rPr>
          <w:rFonts w:ascii="宋体" w:eastAsia="宋体" w:hAnsi="宋体" w:cs="Times New Roman" w:hint="eastAsia"/>
          <w:b/>
          <w:bCs/>
          <w:szCs w:val="21"/>
        </w:rPr>
        <w:t>2、</w:t>
      </w:r>
      <w:r w:rsidRPr="00BC7817">
        <w:rPr>
          <w:rFonts w:ascii="宋体" w:eastAsia="宋体" w:hAnsi="宋体" w:cs="Times New Roman" w:hint="eastAsia"/>
          <w:b/>
          <w:spacing w:val="-2"/>
          <w:szCs w:val="21"/>
        </w:rPr>
        <w:t>重要提示：</w:t>
      </w:r>
      <w:r w:rsidRPr="00BC7817">
        <w:rPr>
          <w:rFonts w:ascii="宋体" w:eastAsia="宋体" w:hAnsi="宋体" w:cs="Times New Roman" w:hint="eastAsia"/>
          <w:bCs/>
          <w:spacing w:val="-2"/>
          <w:szCs w:val="21"/>
        </w:rPr>
        <w:t>投标人有义务在招标活动期间浏览我司网站（</w:t>
      </w:r>
      <w:hyperlink r:id="rId7" w:history="1">
        <w:r w:rsidRPr="00BC7817">
          <w:rPr>
            <w:rFonts w:ascii="宋体" w:eastAsia="宋体" w:hAnsi="宋体" w:cs="Times New Roman"/>
            <w:bCs/>
            <w:szCs w:val="21"/>
          </w:rPr>
          <w:t>www.</w:t>
        </w:r>
        <w:r w:rsidRPr="00BC7817">
          <w:rPr>
            <w:rFonts w:ascii="宋体" w:eastAsia="宋体" w:hAnsi="宋体" w:cs="Times New Roman" w:hint="eastAsia"/>
            <w:bCs/>
            <w:szCs w:val="21"/>
          </w:rPr>
          <w:t>sztc</w:t>
        </w:r>
        <w:r w:rsidRPr="00BC7817">
          <w:rPr>
            <w:rFonts w:ascii="宋体" w:eastAsia="宋体" w:hAnsi="宋体" w:cs="Times New Roman"/>
            <w:bCs/>
            <w:szCs w:val="21"/>
          </w:rPr>
          <w:t>.com</w:t>
        </w:r>
      </w:hyperlink>
      <w:r w:rsidRPr="00BC7817">
        <w:rPr>
          <w:rFonts w:ascii="宋体" w:eastAsia="宋体" w:hAnsi="宋体" w:cs="Times New Roman" w:hint="eastAsia"/>
          <w:bCs/>
          <w:spacing w:val="-2"/>
          <w:szCs w:val="21"/>
        </w:rPr>
        <w:t>）和深圳政府采购网（</w:t>
      </w:r>
      <w:r w:rsidRPr="00BC7817">
        <w:rPr>
          <w:rFonts w:ascii="宋体" w:eastAsia="宋体" w:hAnsi="宋体" w:cs="Times New Roman"/>
          <w:bCs/>
          <w:spacing w:val="-2"/>
          <w:szCs w:val="21"/>
        </w:rPr>
        <w:t>www.cgzx.sz.gov.cn</w:t>
      </w:r>
      <w:r w:rsidRPr="00BC7817">
        <w:rPr>
          <w:rFonts w:ascii="宋体" w:eastAsia="宋体" w:hAnsi="宋体" w:cs="Times New Roman" w:hint="eastAsia"/>
          <w:bCs/>
          <w:spacing w:val="-2"/>
          <w:szCs w:val="21"/>
        </w:rPr>
        <w:t>），招标机构在网上公布的与本次招标项目有关的信息视为已送达各投标人</w:t>
      </w:r>
      <w:r w:rsidRPr="00BC7817">
        <w:rPr>
          <w:rFonts w:ascii="宋体" w:eastAsia="宋体" w:hAnsi="宋体" w:cs="Times New Roman" w:hint="eastAsia"/>
          <w:bCs/>
          <w:szCs w:val="21"/>
        </w:rPr>
        <w:t>。</w:t>
      </w:r>
    </w:p>
    <w:p w:rsidR="00BC7817" w:rsidRPr="00BC7817" w:rsidRDefault="00BC7817" w:rsidP="00BC7817">
      <w:pPr>
        <w:spacing w:line="360" w:lineRule="exact"/>
        <w:ind w:firstLineChars="200" w:firstLine="422"/>
        <w:rPr>
          <w:rFonts w:ascii="宋体" w:eastAsia="宋体" w:hAnsi="宋体" w:cs="Times New Roman" w:hint="eastAsia"/>
          <w:b/>
          <w:szCs w:val="21"/>
        </w:rPr>
      </w:pPr>
      <w:r w:rsidRPr="00BC7817">
        <w:rPr>
          <w:rFonts w:ascii="宋体" w:eastAsia="宋体" w:hAnsi="宋体" w:cs="Times New Roman" w:hint="eastAsia"/>
          <w:b/>
          <w:szCs w:val="21"/>
        </w:rPr>
        <w:t>3、相同品牌产品投标的说明：</w:t>
      </w:r>
    </w:p>
    <w:p w:rsidR="00BC7817" w:rsidRPr="00BC7817" w:rsidRDefault="00BC7817" w:rsidP="00BC7817">
      <w:pPr>
        <w:spacing w:line="360" w:lineRule="exact"/>
        <w:ind w:firstLineChars="200" w:firstLine="420"/>
        <w:rPr>
          <w:rFonts w:ascii="宋体" w:eastAsia="宋体" w:hAnsi="宋体" w:cs="Times New Roman" w:hint="eastAsia"/>
          <w:i/>
          <w:szCs w:val="21"/>
        </w:rPr>
      </w:pPr>
      <w:r w:rsidRPr="00BC7817">
        <w:rPr>
          <w:rFonts w:ascii="宋体" w:eastAsia="宋体" w:hAnsi="宋体" w:cs="Times New Roman" w:hint="eastAsia"/>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技术得分最高的一个投标人获得中标人推荐资格；技术得分仍相同的，确定投标报价最低的一个投标人获得中标人推荐资格；投标报价仍相同，采取随机抽取方式确定，其他同品牌投标人不作为中标候选人。</w:t>
      </w:r>
      <w:r w:rsidRPr="00BC7817">
        <w:rPr>
          <w:rFonts w:ascii="宋体" w:eastAsia="宋体" w:hAnsi="宋体" w:cs="Times New Roman" w:hint="eastAsia"/>
          <w:i/>
          <w:szCs w:val="21"/>
        </w:rPr>
        <w:t xml:space="preserve"> </w:t>
      </w:r>
    </w:p>
    <w:p w:rsidR="00BC7817" w:rsidRPr="00BC7817" w:rsidRDefault="00BC7817" w:rsidP="00BC7817">
      <w:pPr>
        <w:spacing w:line="340" w:lineRule="exact"/>
        <w:ind w:firstLineChars="200" w:firstLine="422"/>
        <w:rPr>
          <w:rFonts w:ascii="宋体" w:eastAsia="宋体" w:hAnsi="宋体" w:cs="Times New Roman" w:hint="eastAsia"/>
          <w:szCs w:val="21"/>
        </w:rPr>
      </w:pPr>
      <w:r w:rsidRPr="00BC7817">
        <w:rPr>
          <w:rFonts w:ascii="宋体" w:eastAsia="宋体" w:hAnsi="宋体" w:cs="Times New Roman" w:hint="eastAsia"/>
          <w:b/>
          <w:bCs/>
          <w:szCs w:val="21"/>
        </w:rPr>
        <w:t>6、如本项目安排现场踏勘的注意事项</w:t>
      </w:r>
      <w:r w:rsidRPr="00BC7817">
        <w:rPr>
          <w:rFonts w:ascii="宋体" w:eastAsia="宋体" w:hAnsi="宋体" w:cs="Times New Roman" w:hint="eastAsia"/>
          <w:b/>
          <w:szCs w:val="21"/>
        </w:rPr>
        <w:t>：</w:t>
      </w:r>
      <w:r w:rsidRPr="00BC7817">
        <w:rPr>
          <w:rFonts w:ascii="宋体" w:eastAsia="宋体" w:hAnsi="宋体" w:cs="Times New Roman" w:hint="eastAsia"/>
          <w:szCs w:val="21"/>
        </w:rPr>
        <w:t>1、采购单位组织投标人对项目现场及周围环境进行考察，以便投标人获取有关编制投标文件和签署合同所需的所有资料。现场考察所发生的费用由投标人自己承担。投标人应按本招标文件所约定的时间、地点统一踏勘现场，投标人未参与统一组织踏勘现场的，采购单位有权拒绝其进入项目现场；2、任何人或任何组织在考察现场时向投标人提交的任何书面或口头上的资料，未经我司在网上发布或书面通知，均作无效处理。我司对投标人由此而做出的推论、理解和结论概不负责；3、投标人及其人员经过采购单位的允许，可为投标人提供以考察目的进入采购单位的项目现场，但投标人及其人员不得因此使招标机构、采购单位及其人员承担有关的责任和蒙受损失。投标人并应对由此次考察现场而造成的死亡、人身伤害、财产损失、损害以及任何其它损失、损害和引起的费用和开支</w:t>
      </w:r>
      <w:r w:rsidRPr="00BC7817">
        <w:rPr>
          <w:rFonts w:ascii="宋体" w:eastAsia="宋体" w:hAnsi="宋体" w:cs="Times New Roman" w:hint="eastAsia"/>
          <w:bCs/>
          <w:szCs w:val="21"/>
        </w:rPr>
        <w:t>自行</w:t>
      </w:r>
      <w:r w:rsidRPr="00BC7817">
        <w:rPr>
          <w:rFonts w:ascii="宋体" w:eastAsia="宋体" w:hAnsi="宋体" w:cs="Times New Roman" w:hint="eastAsia"/>
          <w:szCs w:val="21"/>
        </w:rPr>
        <w:t>承担责任；4、未参与现场踏勘不做为否定投标人资格的理由。</w:t>
      </w:r>
    </w:p>
    <w:p w:rsidR="00BC7817" w:rsidRPr="00BC7817" w:rsidRDefault="00BC7817" w:rsidP="00BC7817">
      <w:pPr>
        <w:spacing w:line="360" w:lineRule="exact"/>
        <w:ind w:firstLineChars="200" w:firstLine="420"/>
        <w:rPr>
          <w:rFonts w:ascii="宋体" w:eastAsia="宋体" w:hAnsi="宋体" w:cs="Times New Roman" w:hint="eastAsia"/>
          <w:bCs/>
          <w:szCs w:val="21"/>
        </w:rPr>
      </w:pPr>
    </w:p>
    <w:p w:rsidR="00BC7817" w:rsidRPr="00BC7817" w:rsidRDefault="00BC7817" w:rsidP="00BC7817">
      <w:pPr>
        <w:rPr>
          <w:rFonts w:ascii="Times New Roman" w:eastAsia="宋体" w:hAnsi="Times New Roman" w:cs="Times New Roman" w:hint="eastAsia"/>
          <w:szCs w:val="24"/>
        </w:rPr>
      </w:pPr>
    </w:p>
    <w:p w:rsidR="00BC7817" w:rsidRPr="00BC7817" w:rsidRDefault="00BC7817" w:rsidP="00BC7817">
      <w:pPr>
        <w:tabs>
          <w:tab w:val="right" w:leader="dot" w:pos="8303"/>
        </w:tabs>
        <w:spacing w:line="440" w:lineRule="exact"/>
        <w:jc w:val="center"/>
        <w:outlineLvl w:val="1"/>
        <w:rPr>
          <w:rFonts w:ascii="黑体" w:eastAsia="黑体" w:hAnsi="黑体" w:cs="Times New Roman" w:hint="eastAsia"/>
          <w:bCs/>
          <w:caps/>
          <w:noProof/>
          <w:sz w:val="24"/>
          <w:szCs w:val="24"/>
        </w:rPr>
      </w:pPr>
      <w:bookmarkStart w:id="2" w:name="_Toc333420704"/>
      <w:r w:rsidRPr="00BC7817">
        <w:rPr>
          <w:rFonts w:ascii="黑体" w:eastAsia="黑体" w:hAnsi="黑体" w:cs="Times New Roman" w:hint="eastAsia"/>
          <w:bCs/>
          <w:caps/>
          <w:noProof/>
          <w:sz w:val="24"/>
          <w:szCs w:val="24"/>
        </w:rPr>
        <w:t xml:space="preserve">第二节  </w:t>
      </w:r>
      <w:r w:rsidRPr="00BC7817">
        <w:rPr>
          <w:rFonts w:ascii="黑体" w:eastAsia="黑体" w:hAnsi="黑体" w:cs="Times New Roman"/>
          <w:bCs/>
          <w:caps/>
          <w:noProof/>
          <w:sz w:val="24"/>
          <w:szCs w:val="24"/>
        </w:rPr>
        <w:t>商务需求明细</w:t>
      </w:r>
      <w:bookmarkEnd w:id="1"/>
      <w:bookmarkEnd w:id="2"/>
    </w:p>
    <w:p w:rsidR="00BC7817" w:rsidRPr="00BC7817" w:rsidRDefault="00BC7817" w:rsidP="00BC7817">
      <w:pPr>
        <w:tabs>
          <w:tab w:val="right" w:leader="dot" w:pos="8303"/>
        </w:tabs>
        <w:spacing w:line="440" w:lineRule="exact"/>
        <w:jc w:val="left"/>
        <w:outlineLvl w:val="1"/>
        <w:rPr>
          <w:rFonts w:ascii="黑体" w:eastAsia="黑体" w:hAnsi="黑体" w:cs="Times New Roman" w:hint="eastAsia"/>
          <w:bCs/>
          <w:caps/>
          <w:noProof/>
          <w:sz w:val="24"/>
          <w:szCs w:val="24"/>
        </w:rPr>
      </w:pPr>
      <w:bookmarkStart w:id="3" w:name="_Toc333420705"/>
    </w:p>
    <w:p w:rsidR="00BC7817" w:rsidRPr="00BC7817" w:rsidRDefault="00BC7817" w:rsidP="00BC7817">
      <w:pPr>
        <w:ind w:firstLineChars="200" w:firstLine="422"/>
        <w:rPr>
          <w:rFonts w:ascii="宋体" w:eastAsia="宋体" w:hAnsi="宋体" w:cs="Times New Roman"/>
          <w:b/>
          <w:szCs w:val="24"/>
        </w:rPr>
      </w:pPr>
      <w:r w:rsidRPr="00BC7817">
        <w:rPr>
          <w:rFonts w:ascii="宋体" w:eastAsia="宋体" w:hAnsi="宋体" w:cs="Times New Roman" w:hint="eastAsia"/>
          <w:b/>
          <w:szCs w:val="24"/>
        </w:rPr>
        <w:t>一、交货期：合同签订之日起60天内遗体收殓袋先交5000个，另附送的遗体收殓袋中型交2000个、小型交1000个，余下的按甲方要求供货，全部货物在半年内交货完毕。</w:t>
      </w:r>
    </w:p>
    <w:p w:rsidR="00BC7817" w:rsidRPr="00BC7817" w:rsidRDefault="00BC7817" w:rsidP="00BC7817">
      <w:pPr>
        <w:ind w:firstLineChars="200" w:firstLine="422"/>
        <w:rPr>
          <w:rFonts w:ascii="宋体" w:eastAsia="宋体" w:hAnsi="宋体" w:cs="Times New Roman"/>
          <w:b/>
          <w:szCs w:val="24"/>
        </w:rPr>
      </w:pPr>
      <w:r w:rsidRPr="00BC7817">
        <w:rPr>
          <w:rFonts w:ascii="宋体" w:eastAsia="宋体" w:hAnsi="宋体" w:cs="Times New Roman" w:hint="eastAsia"/>
          <w:b/>
          <w:szCs w:val="24"/>
        </w:rPr>
        <w:t>二、投标报价</w:t>
      </w:r>
    </w:p>
    <w:p w:rsidR="00BC7817" w:rsidRPr="00BC7817" w:rsidRDefault="00BC7817" w:rsidP="00BC7817">
      <w:pPr>
        <w:ind w:firstLineChars="200" w:firstLine="420"/>
        <w:rPr>
          <w:rFonts w:ascii="宋体" w:eastAsia="宋体" w:hAnsi="宋体" w:cs="Times New Roman"/>
          <w:szCs w:val="24"/>
        </w:rPr>
      </w:pPr>
      <w:r w:rsidRPr="00BC7817">
        <w:rPr>
          <w:rFonts w:ascii="宋体" w:eastAsia="宋体" w:hAnsi="宋体" w:cs="Times New Roman" w:hint="eastAsia"/>
          <w:szCs w:val="24"/>
        </w:rPr>
        <w:t>1、全包价，包送货及完成本项目所发生的一切费用。售后服务等条款由投标人在投标文件中列明。</w:t>
      </w:r>
    </w:p>
    <w:p w:rsidR="00BC7817" w:rsidRPr="00BC7817" w:rsidRDefault="00BC7817" w:rsidP="00BC7817">
      <w:pPr>
        <w:ind w:firstLineChars="200" w:firstLine="420"/>
        <w:rPr>
          <w:rFonts w:ascii="宋体" w:eastAsia="宋体" w:hAnsi="宋体" w:cs="Times New Roman"/>
          <w:szCs w:val="24"/>
        </w:rPr>
      </w:pPr>
      <w:r w:rsidRPr="00BC7817">
        <w:rPr>
          <w:rFonts w:ascii="宋体" w:eastAsia="宋体" w:hAnsi="宋体" w:cs="Times New Roman" w:hint="eastAsia"/>
          <w:szCs w:val="24"/>
        </w:rPr>
        <w:t>2、所提供产品必须为原装合格正品，投标商须在投标文件中报出投标产品的品牌、产</w:t>
      </w:r>
      <w:r w:rsidRPr="00BC7817">
        <w:rPr>
          <w:rFonts w:ascii="宋体" w:eastAsia="宋体" w:hAnsi="宋体" w:cs="Times New Roman" w:hint="eastAsia"/>
          <w:szCs w:val="24"/>
        </w:rPr>
        <w:lastRenderedPageBreak/>
        <w:t>地、型号、规格和详细的技术指标等。</w:t>
      </w:r>
    </w:p>
    <w:p w:rsidR="00BC7817" w:rsidRPr="00BC7817" w:rsidRDefault="00BC7817" w:rsidP="00BC7817">
      <w:pPr>
        <w:ind w:firstLineChars="200" w:firstLine="422"/>
        <w:rPr>
          <w:rFonts w:ascii="宋体" w:eastAsia="宋体" w:hAnsi="宋体" w:cs="Times New Roman" w:hint="eastAsia"/>
          <w:szCs w:val="24"/>
        </w:rPr>
      </w:pPr>
      <w:r w:rsidRPr="00BC7817">
        <w:rPr>
          <w:rFonts w:ascii="宋体" w:eastAsia="宋体" w:hAnsi="宋体" w:cs="Times New Roman" w:hint="eastAsia"/>
          <w:b/>
          <w:szCs w:val="24"/>
        </w:rPr>
        <w:t>三、付款方式：</w:t>
      </w:r>
      <w:r w:rsidRPr="00BC7817">
        <w:rPr>
          <w:rFonts w:ascii="宋体" w:eastAsia="宋体" w:hAnsi="宋体" w:cs="Times New Roman" w:hint="eastAsia"/>
          <w:szCs w:val="24"/>
        </w:rPr>
        <w:t>采购方在收到中标方提交的上述“采购物资”，并按合同规定验收合格后，负责到财政部门办理货款支付手续。</w:t>
      </w:r>
    </w:p>
    <w:p w:rsidR="00BC7817" w:rsidRPr="00BC7817" w:rsidRDefault="00BC7817" w:rsidP="00BC7817">
      <w:pPr>
        <w:ind w:firstLineChars="200" w:firstLine="420"/>
        <w:rPr>
          <w:rFonts w:ascii="Times New Roman" w:eastAsia="宋体" w:hAnsi="Times New Roman" w:cs="Times New Roman" w:hint="eastAsia"/>
          <w:szCs w:val="24"/>
        </w:rPr>
      </w:pPr>
    </w:p>
    <w:p w:rsidR="00BC7817" w:rsidRPr="00BC7817" w:rsidRDefault="00BC7817" w:rsidP="00BC7817">
      <w:pPr>
        <w:tabs>
          <w:tab w:val="right" w:leader="dot" w:pos="8303"/>
        </w:tabs>
        <w:spacing w:line="440" w:lineRule="exact"/>
        <w:jc w:val="center"/>
        <w:outlineLvl w:val="1"/>
        <w:rPr>
          <w:rFonts w:ascii="黑体" w:eastAsia="黑体" w:hAnsi="黑体" w:cs="Times New Roman" w:hint="eastAsia"/>
          <w:bCs/>
          <w:caps/>
          <w:noProof/>
          <w:sz w:val="24"/>
          <w:szCs w:val="24"/>
        </w:rPr>
      </w:pPr>
      <w:r w:rsidRPr="00BC7817">
        <w:rPr>
          <w:rFonts w:ascii="黑体" w:eastAsia="黑体" w:hAnsi="黑体" w:cs="Times New Roman" w:hint="eastAsia"/>
          <w:bCs/>
          <w:caps/>
          <w:noProof/>
          <w:sz w:val="24"/>
          <w:szCs w:val="24"/>
        </w:rPr>
        <w:t>第三节  技术</w:t>
      </w:r>
      <w:r w:rsidRPr="00BC7817">
        <w:rPr>
          <w:rFonts w:ascii="黑体" w:eastAsia="黑体" w:hAnsi="黑体" w:cs="Times New Roman"/>
          <w:bCs/>
          <w:caps/>
          <w:noProof/>
          <w:sz w:val="24"/>
          <w:szCs w:val="24"/>
        </w:rPr>
        <w:t>需求明细</w:t>
      </w:r>
      <w:bookmarkEnd w:id="3"/>
    </w:p>
    <w:p w:rsidR="00BC7817" w:rsidRPr="00BC7817" w:rsidRDefault="00BC7817" w:rsidP="00BC7817">
      <w:pPr>
        <w:spacing w:line="360" w:lineRule="exact"/>
        <w:ind w:firstLineChars="200" w:firstLine="422"/>
        <w:rPr>
          <w:rFonts w:ascii="宋体" w:eastAsia="宋体" w:hAnsi="宋体" w:cs="Times New Roman" w:hint="eastAsia"/>
          <w:b/>
          <w:bCs/>
          <w:szCs w:val="24"/>
        </w:rPr>
      </w:pPr>
      <w:r w:rsidRPr="00BC7817">
        <w:rPr>
          <w:rFonts w:ascii="宋体" w:eastAsia="宋体" w:hAnsi="宋体" w:cs="Times New Roman" w:hint="eastAsia"/>
          <w:b/>
          <w:bCs/>
          <w:szCs w:val="24"/>
        </w:rPr>
        <w:t>一、数量要求</w:t>
      </w:r>
    </w:p>
    <w:p w:rsidR="00BC7817" w:rsidRPr="00BC7817" w:rsidRDefault="00BC7817" w:rsidP="00BC7817">
      <w:pPr>
        <w:spacing w:line="360" w:lineRule="exact"/>
        <w:ind w:firstLineChars="200" w:firstLine="420"/>
        <w:rPr>
          <w:rFonts w:ascii="宋体" w:eastAsia="宋体" w:hAnsi="宋体" w:cs="Times New Roman"/>
          <w:szCs w:val="24"/>
        </w:rPr>
      </w:pPr>
      <w:r w:rsidRPr="00BC7817">
        <w:rPr>
          <w:rFonts w:ascii="宋体" w:eastAsia="宋体" w:hAnsi="宋体" w:cs="Times New Roman" w:hint="eastAsia"/>
          <w:szCs w:val="24"/>
        </w:rPr>
        <w:t>遗体收殓袋10000个,另外附送遗体收殓袋（中型）2000个，遗体收殓袋（小型）1000个，遗体收殓用PE膜5000套（膜及PE绳，每张膜配5条绳））。</w:t>
      </w:r>
    </w:p>
    <w:p w:rsidR="00BC7817" w:rsidRPr="00BC7817" w:rsidRDefault="00BC7817" w:rsidP="00BC7817">
      <w:pPr>
        <w:spacing w:line="360" w:lineRule="exact"/>
        <w:ind w:firstLineChars="200" w:firstLine="420"/>
        <w:rPr>
          <w:rFonts w:ascii="宋体" w:eastAsia="宋体" w:hAnsi="宋体" w:cs="Times New Roman" w:hint="eastAsia"/>
          <w:b/>
          <w:bCs/>
          <w:szCs w:val="24"/>
        </w:rPr>
      </w:pPr>
      <w:r w:rsidRPr="00BC7817">
        <w:rPr>
          <w:rFonts w:ascii="宋体" w:eastAsia="宋体" w:hAnsi="宋体" w:cs="Times New Roman" w:hint="eastAsia"/>
          <w:szCs w:val="24"/>
        </w:rPr>
        <w:t>二、</w:t>
      </w:r>
      <w:r w:rsidRPr="00BC7817">
        <w:rPr>
          <w:rFonts w:ascii="宋体" w:eastAsia="宋体" w:hAnsi="宋体" w:cs="Times New Roman" w:hint="eastAsia"/>
          <w:b/>
          <w:bCs/>
          <w:szCs w:val="24"/>
        </w:rPr>
        <w:t>材质要求</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1.主料材质(含附送遗体收殓袋中型、小型）：</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规格：遗体收殓袋：2000mm(长)*600mm（宽）*350mm（高）；附送遗体收殓袋（中型）： 1350mm(长)*350mm（宽）*250mm（高）；遗体收殓袋（小型）：450mm(长)*450mm（宽），内径420mm(长)*420mm（宽）。</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材质：牛津布单面防水涂层，高强度，防水，外观颜色黄色。</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规格：（1）牛津布的厚度不少于20丝；</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2）遗体收殓袋子四周有6个提手（需要纵横加固，织带总长不少于9.2米），并安装护手套4个，承受重量不少于200KG；附送遗体收殓袋（中型）四周有4个提手（需要纵横加固，织带总长不少于8.2米），并安装护手套4个，承受重量不少于100KG；</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（3）袋子上有小标签格位方便书写文字记录；</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（4）双拉链头、弯曲宽带的拉链设计，拉链头需要加固；</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（5）提手增加回针线来加固袋子。</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提环宽度不小于30mm,厚度不小于5*10，线径不小于2*10，缝线外边宽不小于10mm。</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袋料缝制采用12#针，提环缝制采用14#针，针距10针/34mm，提环受力部位采用双层复线。</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外观无线头外露，无虚边外露，无皱折，无污痕。</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备注：投标文件中须提供遗体收殓袋实物照片，包括正面、反面及重点部位（拉链、提手、小标签格位、材质）的细部特写。具体样板可以到深圳市殡仪馆参考。</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2.附送遗体收殓用PE膜规格材质</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规格：3.4m(长)*2.0m（宽）；</w:t>
      </w:r>
    </w:p>
    <w:p w:rsidR="00BC7817" w:rsidRPr="00BC7817" w:rsidRDefault="00BC7817" w:rsidP="00BC7817">
      <w:pPr>
        <w:spacing w:line="360" w:lineRule="exact"/>
        <w:ind w:firstLineChars="200" w:firstLine="420"/>
        <w:rPr>
          <w:rFonts w:ascii="宋体" w:eastAsia="宋体" w:hAnsi="宋体" w:cs="Times New Roman" w:hint="eastAsia"/>
          <w:bCs/>
          <w:szCs w:val="24"/>
        </w:rPr>
      </w:pPr>
      <w:r w:rsidRPr="00BC7817">
        <w:rPr>
          <w:rFonts w:ascii="宋体" w:eastAsia="宋体" w:hAnsi="宋体" w:cs="Times New Roman" w:hint="eastAsia"/>
          <w:bCs/>
          <w:szCs w:val="24"/>
        </w:rPr>
        <w:t>材质：PE膜新料（银灰色）；</w:t>
      </w:r>
    </w:p>
    <w:p w:rsidR="00BC7817" w:rsidRPr="00BC7817" w:rsidRDefault="00BC7817" w:rsidP="00BC7817">
      <w:pPr>
        <w:spacing w:line="360" w:lineRule="exact"/>
        <w:ind w:firstLineChars="200" w:firstLine="422"/>
        <w:rPr>
          <w:rFonts w:ascii="宋体" w:eastAsia="宋体" w:hAnsi="宋体" w:cs="Times New Roman" w:hint="eastAsia"/>
          <w:b/>
          <w:bCs/>
          <w:szCs w:val="24"/>
          <w:u w:val="single"/>
        </w:rPr>
      </w:pPr>
      <w:r w:rsidRPr="00BC7817">
        <w:rPr>
          <w:rFonts w:ascii="宋体" w:eastAsia="宋体" w:hAnsi="宋体" w:cs="Times New Roman" w:hint="eastAsia"/>
          <w:b/>
          <w:bCs/>
          <w:szCs w:val="24"/>
          <w:u w:val="single"/>
        </w:rPr>
        <w:t>重量：每张膜重约728克，可承受重量不少于100KG；</w:t>
      </w:r>
    </w:p>
    <w:p w:rsidR="00BC7817" w:rsidRPr="00BC7817" w:rsidRDefault="00BC7817" w:rsidP="00BC7817">
      <w:pPr>
        <w:spacing w:line="360" w:lineRule="exact"/>
        <w:ind w:firstLineChars="200" w:firstLine="422"/>
        <w:rPr>
          <w:rFonts w:ascii="宋体" w:eastAsia="宋体" w:hAnsi="宋体" w:cs="Times New Roman"/>
          <w:b/>
          <w:bCs/>
          <w:szCs w:val="24"/>
          <w:u w:val="single"/>
        </w:rPr>
      </w:pPr>
      <w:r w:rsidRPr="00BC7817">
        <w:rPr>
          <w:rFonts w:ascii="宋体" w:eastAsia="宋体" w:hAnsi="宋体" w:cs="Times New Roman" w:hint="eastAsia"/>
          <w:b/>
          <w:bCs/>
          <w:szCs w:val="24"/>
          <w:u w:val="single"/>
        </w:rPr>
        <w:t>厚度：11丝；</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PE绳：每张PE膜配五条PE绳</w:t>
      </w:r>
      <w:r w:rsidRPr="00BC7817">
        <w:rPr>
          <w:rFonts w:ascii="宋体" w:eastAsia="宋体" w:hAnsi="宋体" w:cs="Times New Roman" w:hint="eastAsia"/>
          <w:b/>
          <w:bCs/>
          <w:szCs w:val="24"/>
          <w:u w:val="single"/>
        </w:rPr>
        <w:t>（浅蓝色）全新料</w:t>
      </w:r>
      <w:r w:rsidRPr="00BC7817">
        <w:rPr>
          <w:rFonts w:ascii="宋体" w:eastAsia="宋体" w:hAnsi="宋体" w:cs="Times New Roman" w:hint="eastAsia"/>
          <w:bCs/>
          <w:szCs w:val="24"/>
        </w:rPr>
        <w:t>，每条长3.4m；</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3、辅料材质：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544"/>
        <w:gridCol w:w="3594"/>
      </w:tblGrid>
      <w:tr w:rsidR="00BC7817" w:rsidRPr="00BC7817" w:rsidTr="002B2487">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外包装袋</w:t>
            </w:r>
          </w:p>
        </w:tc>
        <w:tc>
          <w:tcPr>
            <w:tcW w:w="354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项目</w:t>
            </w:r>
          </w:p>
        </w:tc>
        <w:tc>
          <w:tcPr>
            <w:tcW w:w="359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规格</w:t>
            </w:r>
          </w:p>
        </w:tc>
      </w:tr>
      <w:tr w:rsidR="00BC7817" w:rsidRPr="00BC7817" w:rsidTr="002B2487">
        <w:tc>
          <w:tcPr>
            <w:tcW w:w="0" w:type="auto"/>
            <w:vMerge/>
            <w:tcBorders>
              <w:top w:val="single" w:sz="4" w:space="0" w:color="auto"/>
              <w:left w:val="single" w:sz="4" w:space="0" w:color="auto"/>
              <w:bottom w:val="single" w:sz="4" w:space="0" w:color="auto"/>
              <w:right w:val="single" w:sz="4" w:space="0" w:color="auto"/>
            </w:tcBorders>
            <w:vAlign w:val="center"/>
            <w:hideMark/>
          </w:tcPr>
          <w:p w:rsidR="00BC7817" w:rsidRPr="00BC7817" w:rsidRDefault="00BC7817" w:rsidP="00BC7817">
            <w:pPr>
              <w:spacing w:line="360" w:lineRule="exact"/>
              <w:rPr>
                <w:rFonts w:ascii="宋体" w:eastAsia="宋体" w:hAnsi="宋体" w:cs="Times New Roman"/>
                <w:bCs/>
                <w:szCs w:val="24"/>
              </w:rPr>
            </w:pPr>
          </w:p>
        </w:tc>
        <w:tc>
          <w:tcPr>
            <w:tcW w:w="354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规格</w:t>
            </w:r>
          </w:p>
        </w:tc>
        <w:tc>
          <w:tcPr>
            <w:tcW w:w="359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32cm*32cm</w:t>
            </w:r>
          </w:p>
        </w:tc>
      </w:tr>
      <w:tr w:rsidR="00BC7817" w:rsidRPr="00BC7817" w:rsidTr="002B2487">
        <w:tc>
          <w:tcPr>
            <w:tcW w:w="0" w:type="auto"/>
            <w:vMerge/>
            <w:tcBorders>
              <w:top w:val="single" w:sz="4" w:space="0" w:color="auto"/>
              <w:left w:val="single" w:sz="4" w:space="0" w:color="auto"/>
              <w:bottom w:val="single" w:sz="4" w:space="0" w:color="auto"/>
              <w:right w:val="single" w:sz="4" w:space="0" w:color="auto"/>
            </w:tcBorders>
            <w:vAlign w:val="center"/>
            <w:hideMark/>
          </w:tcPr>
          <w:p w:rsidR="00BC7817" w:rsidRPr="00BC7817" w:rsidRDefault="00BC7817" w:rsidP="00BC7817">
            <w:pPr>
              <w:spacing w:line="360" w:lineRule="exact"/>
              <w:rPr>
                <w:rFonts w:ascii="宋体" w:eastAsia="宋体" w:hAnsi="宋体" w:cs="Times New Roman"/>
                <w:bCs/>
                <w:szCs w:val="24"/>
              </w:rPr>
            </w:pPr>
          </w:p>
        </w:tc>
        <w:tc>
          <w:tcPr>
            <w:tcW w:w="354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牛津布</w:t>
            </w:r>
          </w:p>
        </w:tc>
        <w:tc>
          <w:tcPr>
            <w:tcW w:w="359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防水涂层、橙黄色</w:t>
            </w:r>
          </w:p>
        </w:tc>
      </w:tr>
      <w:tr w:rsidR="00BC7817" w:rsidRPr="00BC7817" w:rsidTr="002B2487">
        <w:tc>
          <w:tcPr>
            <w:tcW w:w="0" w:type="auto"/>
            <w:vMerge/>
            <w:tcBorders>
              <w:top w:val="single" w:sz="4" w:space="0" w:color="auto"/>
              <w:left w:val="single" w:sz="4" w:space="0" w:color="auto"/>
              <w:bottom w:val="single" w:sz="4" w:space="0" w:color="auto"/>
              <w:right w:val="single" w:sz="4" w:space="0" w:color="auto"/>
            </w:tcBorders>
            <w:vAlign w:val="center"/>
            <w:hideMark/>
          </w:tcPr>
          <w:p w:rsidR="00BC7817" w:rsidRPr="00BC7817" w:rsidRDefault="00BC7817" w:rsidP="00BC7817">
            <w:pPr>
              <w:spacing w:line="360" w:lineRule="exact"/>
              <w:rPr>
                <w:rFonts w:ascii="宋体" w:eastAsia="宋体" w:hAnsi="宋体" w:cs="Times New Roman"/>
                <w:bCs/>
                <w:szCs w:val="24"/>
              </w:rPr>
            </w:pPr>
          </w:p>
        </w:tc>
        <w:tc>
          <w:tcPr>
            <w:tcW w:w="354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拉链</w:t>
            </w:r>
          </w:p>
        </w:tc>
        <w:tc>
          <w:tcPr>
            <w:tcW w:w="359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5#五金拉链</w:t>
            </w:r>
          </w:p>
        </w:tc>
      </w:tr>
      <w:tr w:rsidR="00BC7817" w:rsidRPr="00BC7817" w:rsidTr="002B2487">
        <w:tc>
          <w:tcPr>
            <w:tcW w:w="0" w:type="auto"/>
            <w:vMerge/>
            <w:tcBorders>
              <w:top w:val="single" w:sz="4" w:space="0" w:color="auto"/>
              <w:left w:val="single" w:sz="4" w:space="0" w:color="auto"/>
              <w:bottom w:val="single" w:sz="4" w:space="0" w:color="auto"/>
              <w:right w:val="single" w:sz="4" w:space="0" w:color="auto"/>
            </w:tcBorders>
            <w:vAlign w:val="center"/>
            <w:hideMark/>
          </w:tcPr>
          <w:p w:rsidR="00BC7817" w:rsidRPr="00BC7817" w:rsidRDefault="00BC7817" w:rsidP="00BC7817">
            <w:pPr>
              <w:spacing w:line="360" w:lineRule="exact"/>
              <w:rPr>
                <w:rFonts w:ascii="宋体" w:eastAsia="宋体" w:hAnsi="宋体" w:cs="Times New Roman"/>
                <w:bCs/>
                <w:szCs w:val="24"/>
              </w:rPr>
            </w:pPr>
          </w:p>
        </w:tc>
        <w:tc>
          <w:tcPr>
            <w:tcW w:w="354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提手</w:t>
            </w:r>
          </w:p>
        </w:tc>
        <w:tc>
          <w:tcPr>
            <w:tcW w:w="3594" w:type="dxa"/>
            <w:tcBorders>
              <w:top w:val="single" w:sz="4" w:space="0" w:color="auto"/>
              <w:left w:val="single" w:sz="4" w:space="0" w:color="auto"/>
              <w:bottom w:val="single" w:sz="4" w:space="0" w:color="auto"/>
              <w:right w:val="single" w:sz="4" w:space="0" w:color="auto"/>
            </w:tcBorders>
            <w:hideMark/>
          </w:tcPr>
          <w:p w:rsidR="00BC7817" w:rsidRPr="00BC7817" w:rsidRDefault="00BC7817" w:rsidP="00BC7817">
            <w:pPr>
              <w:spacing w:line="360" w:lineRule="exact"/>
              <w:rPr>
                <w:rFonts w:ascii="宋体" w:eastAsia="宋体" w:hAnsi="宋体" w:cs="Times New Roman"/>
                <w:bCs/>
                <w:szCs w:val="24"/>
              </w:rPr>
            </w:pPr>
            <w:r w:rsidRPr="00BC7817">
              <w:rPr>
                <w:rFonts w:ascii="宋体" w:eastAsia="宋体" w:hAnsi="宋体" w:cs="Times New Roman" w:hint="eastAsia"/>
                <w:bCs/>
                <w:szCs w:val="24"/>
              </w:rPr>
              <w:t>厚实、加牢（中间的特别加长加固）</w:t>
            </w:r>
          </w:p>
        </w:tc>
      </w:tr>
    </w:tbl>
    <w:p w:rsidR="00BC7817" w:rsidRPr="00BC7817" w:rsidRDefault="00BC7817" w:rsidP="00BC7817">
      <w:pPr>
        <w:spacing w:line="360" w:lineRule="exact"/>
        <w:ind w:firstLineChars="200" w:firstLine="422"/>
        <w:rPr>
          <w:rFonts w:ascii="宋体" w:eastAsia="宋体" w:hAnsi="宋体" w:cs="Times New Roman" w:hint="eastAsia"/>
          <w:b/>
          <w:bCs/>
          <w:szCs w:val="24"/>
        </w:rPr>
      </w:pPr>
      <w:r w:rsidRPr="00BC7817">
        <w:rPr>
          <w:rFonts w:ascii="宋体" w:eastAsia="宋体" w:hAnsi="宋体" w:cs="Times New Roman" w:hint="eastAsia"/>
          <w:b/>
          <w:bCs/>
          <w:szCs w:val="24"/>
        </w:rPr>
        <w:t>三、其他要求</w:t>
      </w:r>
    </w:p>
    <w:p w:rsidR="00BC7817" w:rsidRPr="00BC7817" w:rsidRDefault="00BC7817" w:rsidP="00BC7817">
      <w:pPr>
        <w:spacing w:line="360" w:lineRule="exact"/>
        <w:ind w:firstLineChars="200" w:firstLine="420"/>
        <w:rPr>
          <w:rFonts w:ascii="宋体" w:eastAsia="宋体" w:hAnsi="宋体" w:cs="Times New Roman"/>
          <w:bCs/>
          <w:szCs w:val="24"/>
        </w:rPr>
      </w:pPr>
      <w:r w:rsidRPr="00BC7817">
        <w:rPr>
          <w:rFonts w:ascii="宋体" w:eastAsia="宋体" w:hAnsi="宋体" w:cs="Times New Roman" w:hint="eastAsia"/>
          <w:bCs/>
          <w:szCs w:val="24"/>
        </w:rPr>
        <w:t>1.包装箱子里面加一层厚薄膜包着收殓袋，防止潮湿、发霉。</w:t>
      </w:r>
    </w:p>
    <w:p w:rsidR="00BC7817" w:rsidRPr="00BC7817" w:rsidRDefault="00BC7817" w:rsidP="00BC7817">
      <w:pPr>
        <w:spacing w:line="360" w:lineRule="exact"/>
        <w:ind w:firstLineChars="200" w:firstLine="420"/>
        <w:rPr>
          <w:rFonts w:ascii="宋体" w:eastAsia="宋体" w:hAnsi="宋体" w:cs="Times New Roman" w:hint="eastAsia"/>
          <w:bCs/>
          <w:szCs w:val="24"/>
        </w:rPr>
      </w:pPr>
      <w:r w:rsidRPr="00BC7817">
        <w:rPr>
          <w:rFonts w:ascii="宋体" w:eastAsia="宋体" w:hAnsi="宋体" w:cs="Times New Roman" w:hint="eastAsia"/>
          <w:bCs/>
          <w:szCs w:val="24"/>
        </w:rPr>
        <w:t>2.包装箱子平整，无破损。</w:t>
      </w:r>
    </w:p>
    <w:p w:rsidR="00875813" w:rsidRPr="00BC7817" w:rsidRDefault="00875813" w:rsidP="00BC7817"/>
    <w:sectPr w:rsidR="00875813" w:rsidRPr="00BC7817" w:rsidSect="005621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0F2" w:rsidRDefault="000C00F2" w:rsidP="00D40F14">
      <w:r>
        <w:separator/>
      </w:r>
    </w:p>
  </w:endnote>
  <w:endnote w:type="continuationSeparator" w:id="1">
    <w:p w:rsidR="000C00F2" w:rsidRDefault="000C00F2" w:rsidP="00D4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0F2" w:rsidRDefault="000C00F2" w:rsidP="00D40F14">
      <w:r>
        <w:separator/>
      </w:r>
    </w:p>
  </w:footnote>
  <w:footnote w:type="continuationSeparator" w:id="1">
    <w:p w:rsidR="000C00F2" w:rsidRDefault="000C00F2" w:rsidP="00D40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680"/>
        </w:tabs>
        <w:ind w:left="1724" w:hanging="464"/>
      </w:pPr>
      <w:rPr>
        <w:rFonts w:hint="eastAsia"/>
      </w:rPr>
    </w:lvl>
    <w:lvl w:ilvl="1">
      <w:start w:val="1"/>
      <w:numFmt w:val="decimal"/>
      <w:lvlText w:val="%2、"/>
      <w:lvlJc w:val="left"/>
      <w:pPr>
        <w:tabs>
          <w:tab w:val="num" w:pos="1125"/>
        </w:tabs>
        <w:ind w:left="1125" w:hanging="70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7"/>
    <w:multiLevelType w:val="multilevel"/>
    <w:tmpl w:val="00000007"/>
    <w:lvl w:ilvl="0">
      <w:start w:val="1"/>
      <w:numFmt w:val="decimal"/>
      <w:lvlText w:val="%1)"/>
      <w:lvlJc w:val="left"/>
      <w:pPr>
        <w:tabs>
          <w:tab w:val="num" w:pos="960"/>
        </w:tabs>
        <w:ind w:left="1004" w:hanging="464"/>
      </w:pPr>
      <w:rPr>
        <w:rFonts w:hint="eastAsia"/>
      </w:rPr>
    </w:lvl>
    <w:lvl w:ilvl="1">
      <w:start w:val="1"/>
      <w:numFmt w:val="decimal"/>
      <w:lvlText w:val="%2."/>
      <w:lvlJc w:val="left"/>
      <w:pPr>
        <w:tabs>
          <w:tab w:val="num" w:pos="-300"/>
        </w:tabs>
        <w:ind w:left="-300" w:hanging="420"/>
      </w:pPr>
      <w:rPr>
        <w:rFonts w:hint="eastAsia"/>
      </w:rPr>
    </w:lvl>
    <w:lvl w:ilvl="2">
      <w:start w:val="1"/>
      <w:numFmt w:val="lowerRoman"/>
      <w:lvlText w:val="%3."/>
      <w:lvlJc w:val="right"/>
      <w:pPr>
        <w:tabs>
          <w:tab w:val="num" w:pos="540"/>
        </w:tabs>
        <w:ind w:left="540" w:hanging="420"/>
      </w:pPr>
    </w:lvl>
    <w:lvl w:ilvl="3">
      <w:start w:val="1"/>
      <w:numFmt w:val="decimal"/>
      <w:lvlText w:val="%4."/>
      <w:lvlJc w:val="left"/>
      <w:pPr>
        <w:tabs>
          <w:tab w:val="num" w:pos="960"/>
        </w:tabs>
        <w:ind w:left="960" w:hanging="420"/>
      </w:pPr>
    </w:lvl>
    <w:lvl w:ilvl="4">
      <w:start w:val="1"/>
      <w:numFmt w:val="lowerLetter"/>
      <w:lvlText w:val="%5)"/>
      <w:lvlJc w:val="left"/>
      <w:pPr>
        <w:tabs>
          <w:tab w:val="num" w:pos="1380"/>
        </w:tabs>
        <w:ind w:left="1380" w:hanging="420"/>
      </w:pPr>
    </w:lvl>
    <w:lvl w:ilvl="5">
      <w:start w:val="1"/>
      <w:numFmt w:val="lowerRoman"/>
      <w:lvlText w:val="%6."/>
      <w:lvlJc w:val="right"/>
      <w:pPr>
        <w:tabs>
          <w:tab w:val="num" w:pos="1800"/>
        </w:tabs>
        <w:ind w:left="1800" w:hanging="420"/>
      </w:pPr>
    </w:lvl>
    <w:lvl w:ilvl="6">
      <w:start w:val="1"/>
      <w:numFmt w:val="decimal"/>
      <w:lvlText w:val="%7."/>
      <w:lvlJc w:val="left"/>
      <w:pPr>
        <w:tabs>
          <w:tab w:val="num" w:pos="2220"/>
        </w:tabs>
        <w:ind w:left="2220" w:hanging="420"/>
      </w:pPr>
    </w:lvl>
    <w:lvl w:ilvl="7">
      <w:start w:val="1"/>
      <w:numFmt w:val="lowerLetter"/>
      <w:lvlText w:val="%8)"/>
      <w:lvlJc w:val="left"/>
      <w:pPr>
        <w:tabs>
          <w:tab w:val="num" w:pos="2640"/>
        </w:tabs>
        <w:ind w:left="2640" w:hanging="420"/>
      </w:pPr>
    </w:lvl>
    <w:lvl w:ilvl="8">
      <w:start w:val="1"/>
      <w:numFmt w:val="lowerRoman"/>
      <w:lvlText w:val="%9."/>
      <w:lvlJc w:val="right"/>
      <w:pPr>
        <w:tabs>
          <w:tab w:val="num" w:pos="3060"/>
        </w:tabs>
        <w:ind w:left="30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F14"/>
    <w:rsid w:val="000C00F2"/>
    <w:rsid w:val="002C0198"/>
    <w:rsid w:val="0054172D"/>
    <w:rsid w:val="00562160"/>
    <w:rsid w:val="005E37D7"/>
    <w:rsid w:val="00875813"/>
    <w:rsid w:val="008C7620"/>
    <w:rsid w:val="00934045"/>
    <w:rsid w:val="00A9403E"/>
    <w:rsid w:val="00B65E8B"/>
    <w:rsid w:val="00B84785"/>
    <w:rsid w:val="00BC7817"/>
    <w:rsid w:val="00D40F14"/>
    <w:rsid w:val="00E84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0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0F14"/>
    <w:rPr>
      <w:sz w:val="18"/>
      <w:szCs w:val="18"/>
    </w:rPr>
  </w:style>
  <w:style w:type="paragraph" w:styleId="a4">
    <w:name w:val="footer"/>
    <w:basedOn w:val="a"/>
    <w:link w:val="Char0"/>
    <w:uiPriority w:val="99"/>
    <w:semiHidden/>
    <w:unhideWhenUsed/>
    <w:rsid w:val="00D40F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0F1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mc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huangqian</dc:creator>
  <cp:keywords/>
  <dc:description/>
  <cp:lastModifiedBy>huangqian</cp:lastModifiedBy>
  <cp:revision>6</cp:revision>
  <dcterms:created xsi:type="dcterms:W3CDTF">2018-05-22T02:05:00Z</dcterms:created>
  <dcterms:modified xsi:type="dcterms:W3CDTF">2018-06-08T06:52:00Z</dcterms:modified>
</cp:coreProperties>
</file>