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firstLine="0" w:firstLineChars="0"/>
        <w:jc w:val="center"/>
        <w:rPr>
          <w:b/>
          <w:sz w:val="32"/>
        </w:rPr>
      </w:pPr>
    </w:p>
    <w:p>
      <w:pPr>
        <w:spacing w:before="156" w:after="156"/>
        <w:ind w:firstLine="0" w:firstLineChars="0"/>
        <w:jc w:val="center"/>
        <w:rPr>
          <w:rFonts w:hint="default" w:eastAsiaTheme="minor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联交所i深圳对接需求</w:t>
      </w: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after="156"/>
        <w:ind w:firstLine="0"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单位：深圳联合产权交易所股份有限公司    </w:t>
      </w:r>
    </w:p>
    <w:p>
      <w:pPr>
        <w:spacing w:before="156" w:after="156"/>
        <w:ind w:firstLine="0" w:firstLineChars="0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hint="eastAsia" w:asciiTheme="minorEastAsia" w:hAnsiTheme="minorEastAsia"/>
          <w:b/>
          <w:sz w:val="32"/>
          <w:szCs w:val="24"/>
        </w:rPr>
        <w:t xml:space="preserve">日期：  2019年 </w:t>
      </w:r>
      <w:r>
        <w:rPr>
          <w:rFonts w:hint="eastAsia" w:asciiTheme="minorEastAsia" w:hAnsiTheme="minorEastAsia"/>
          <w:b/>
          <w:sz w:val="32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32"/>
          <w:szCs w:val="24"/>
        </w:rPr>
        <w:t xml:space="preserve"> 月</w:t>
      </w:r>
    </w:p>
    <w:p>
      <w:pPr>
        <w:spacing w:before="156" w:after="156"/>
        <w:rPr>
          <w:rFonts w:asciiTheme="minorEastAsia" w:hAnsiTheme="minorEastAsia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after="156"/>
        <w:ind w:firstLine="0"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目录</w:t>
      </w:r>
    </w:p>
    <w:p>
      <w:pPr>
        <w:pStyle w:val="16"/>
        <w:tabs>
          <w:tab w:val="right" w:leader="dot" w:pos="8306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_Toc16191 </w:instrText>
      </w:r>
      <w:r>
        <w:fldChar w:fldCharType="separate"/>
      </w:r>
      <w:r>
        <w:rPr>
          <w:rFonts w:hint="eastAsia"/>
        </w:rPr>
        <w:t>第一章. 建设单位概况</w:t>
      </w:r>
      <w:r>
        <w:tab/>
      </w:r>
      <w:r>
        <w:fldChar w:fldCharType="begin"/>
      </w:r>
      <w:r>
        <w:instrText xml:space="preserve"> PAGEREF _Toc16191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fldChar w:fldCharType="begin"/>
      </w:r>
      <w:r>
        <w:instrText xml:space="preserve"> HYPERLINK \l _Toc2758 </w:instrText>
      </w:r>
      <w:r>
        <w:fldChar w:fldCharType="separate"/>
      </w:r>
      <w:r>
        <w:rPr>
          <w:rFonts w:hint="eastAsia"/>
        </w:rPr>
        <w:t>1.1. 单位简介</w:t>
      </w:r>
      <w:r>
        <w:tab/>
      </w:r>
      <w:r>
        <w:fldChar w:fldCharType="begin"/>
      </w:r>
      <w:r>
        <w:instrText xml:space="preserve"> PAGEREF _Toc2758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fldChar w:fldCharType="begin"/>
      </w:r>
      <w:r>
        <w:instrText xml:space="preserve"> HYPERLINK \l _Toc29561 </w:instrText>
      </w:r>
      <w:r>
        <w:fldChar w:fldCharType="separate"/>
      </w:r>
      <w:r>
        <w:rPr>
          <w:rFonts w:hint="eastAsia"/>
        </w:rPr>
        <w:t>1.2. 机构职责</w:t>
      </w:r>
      <w:r>
        <w:tab/>
      </w:r>
      <w:r>
        <w:fldChar w:fldCharType="begin"/>
      </w:r>
      <w:r>
        <w:instrText xml:space="preserve"> PAGEREF _Toc29561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fldChar w:fldCharType="begin"/>
      </w:r>
      <w:r>
        <w:instrText xml:space="preserve"> HYPERLINK \l _Toc18554 </w:instrText>
      </w:r>
      <w:r>
        <w:fldChar w:fldCharType="separate"/>
      </w:r>
      <w:r>
        <w:rPr>
          <w:rFonts w:hint="eastAsia"/>
        </w:rPr>
        <w:t xml:space="preserve">第二章.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需求</w:t>
      </w:r>
      <w:r>
        <w:tab/>
      </w:r>
      <w:r>
        <w:fldChar w:fldCharType="begin"/>
      </w:r>
      <w:r>
        <w:instrText xml:space="preserve"> PAGEREF _Toc18554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fldChar w:fldCharType="begin"/>
      </w:r>
      <w:r>
        <w:instrText xml:space="preserve"> HYPERLINK \l _Toc2395 </w:instrText>
      </w:r>
      <w:r>
        <w:fldChar w:fldCharType="separate"/>
      </w:r>
      <w:r>
        <w:rPr>
          <w:rFonts w:hint="eastAsia"/>
        </w:rPr>
        <w:t>2.1. 建设内容和目标</w:t>
      </w:r>
      <w:r>
        <w:tab/>
      </w:r>
      <w:r>
        <w:fldChar w:fldCharType="begin"/>
      </w:r>
      <w:r>
        <w:instrText xml:space="preserve"> PAGEREF _Toc2395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fldChar w:fldCharType="begin"/>
      </w:r>
      <w:r>
        <w:instrText xml:space="preserve"> HYPERLINK \l _Toc32636 </w:instrText>
      </w:r>
      <w:r>
        <w:fldChar w:fldCharType="separate"/>
      </w:r>
      <w:r>
        <w:rPr>
          <w:rFonts w:hint="eastAsia"/>
        </w:rPr>
        <w:t>2.2. 业务需求</w:t>
      </w:r>
      <w:r>
        <w:tab/>
      </w:r>
      <w:r>
        <w:fldChar w:fldCharType="begin"/>
      </w:r>
      <w:r>
        <w:instrText xml:space="preserve"> PAGEREF _Toc32636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_Toc18808 </w:instrText>
      </w:r>
      <w:r>
        <w:fldChar w:fldCharType="separate"/>
      </w:r>
      <w:r>
        <w:rPr>
          <w:rFonts w:hint="eastAsia"/>
        </w:rPr>
        <w:t>2.2.1. 业务概述</w:t>
      </w:r>
      <w:r>
        <w:tab/>
      </w:r>
      <w:r>
        <w:fldChar w:fldCharType="begin"/>
      </w:r>
      <w:r>
        <w:instrText xml:space="preserve"> PAGEREF _Toc18808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_Toc8793 </w:instrText>
      </w:r>
      <w:r>
        <w:fldChar w:fldCharType="separate"/>
      </w:r>
      <w:r>
        <w:rPr>
          <w:rFonts w:hint="eastAsia"/>
        </w:rPr>
        <w:t>2.2.2. 业务说明</w:t>
      </w:r>
      <w:r>
        <w:tab/>
      </w:r>
      <w:r>
        <w:fldChar w:fldCharType="begin"/>
      </w:r>
      <w:r>
        <w:instrText xml:space="preserve"> PAGEREF _Toc8793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_Toc32615 </w:instrText>
      </w:r>
      <w:r>
        <w:fldChar w:fldCharType="separate"/>
      </w:r>
      <w:r>
        <w:rPr>
          <w:rFonts w:hint="eastAsia"/>
        </w:rPr>
        <w:t>2.2.3. 业务规则</w:t>
      </w:r>
      <w:r>
        <w:tab/>
      </w:r>
      <w:r>
        <w:fldChar w:fldCharType="begin"/>
      </w:r>
      <w:r>
        <w:instrText xml:space="preserve"> PAGEREF _Toc32615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fldChar w:fldCharType="begin"/>
      </w:r>
      <w:r>
        <w:instrText xml:space="preserve"> HYPERLINK \l _Toc19612 </w:instrText>
      </w:r>
      <w:r>
        <w:fldChar w:fldCharType="separate"/>
      </w:r>
      <w:r>
        <w:rPr>
          <w:rFonts w:hint="eastAsia"/>
        </w:rPr>
        <w:t>2.3. 功能需求</w:t>
      </w:r>
      <w:r>
        <w:tab/>
      </w:r>
      <w:r>
        <w:fldChar w:fldCharType="begin"/>
      </w:r>
      <w:r>
        <w:instrText xml:space="preserve"> PAGEREF _Toc19612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fldChar w:fldCharType="begin"/>
      </w:r>
      <w:r>
        <w:instrText xml:space="preserve"> HYPERLINK \l _Toc9615 </w:instrText>
      </w:r>
      <w:r>
        <w:fldChar w:fldCharType="separate"/>
      </w:r>
      <w:r>
        <w:rPr>
          <w:rFonts w:hint="eastAsia"/>
          <w:lang w:val="en-US" w:eastAsia="zh-CN"/>
        </w:rPr>
        <w:t>2.4. 参考规范</w:t>
      </w:r>
      <w:r>
        <w:tab/>
      </w:r>
      <w:r>
        <w:fldChar w:fldCharType="begin"/>
      </w:r>
      <w:r>
        <w:instrText xml:space="preserve"> PAGEREF _Toc9615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spacing w:before="156" w:after="156"/>
      </w:pPr>
      <w:r>
        <w:fldChar w:fldCharType="end"/>
      </w:r>
    </w:p>
    <w:p>
      <w:pPr>
        <w:pStyle w:val="2"/>
        <w:spacing w:before="312" w:after="312"/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  <w:spacing w:before="312" w:after="312"/>
      </w:pPr>
      <w:bookmarkStart w:id="0" w:name="_Toc16191"/>
      <w:r>
        <w:rPr>
          <w:rFonts w:hint="eastAsia"/>
        </w:rPr>
        <w:t>建设单位概况</w:t>
      </w:r>
      <w:bookmarkEnd w:id="0"/>
    </w:p>
    <w:p>
      <w:pPr>
        <w:pStyle w:val="3"/>
        <w:spacing w:before="156" w:after="156"/>
        <w:ind w:left="567" w:hanging="567"/>
      </w:pPr>
      <w:bookmarkStart w:id="1" w:name="_Toc2758"/>
      <w:r>
        <w:rPr>
          <w:rFonts w:hint="eastAsia"/>
        </w:rPr>
        <w:t>单位简介</w:t>
      </w:r>
      <w:bookmarkEnd w:id="1"/>
    </w:p>
    <w:p>
      <w:pPr>
        <w:spacing w:before="156" w:after="156"/>
      </w:pPr>
      <w:r>
        <w:rPr>
          <w:rFonts w:hint="eastAsia"/>
        </w:rPr>
        <w:t>深圳联合产权交易所是2009年深圳市政府整合交易所资源，由成立于1993年的深圳市产权交易中心和成立于2000年的深圳国际高新技术产权交易所组建，是集企业产（股）权、知识产权、债权、公共资源等各类非标资产（权益）交易服务为一体的专业化市场平台，定位为深圳统一的综合性产权交易平台。</w:t>
      </w:r>
    </w:p>
    <w:p>
      <w:pPr>
        <w:pStyle w:val="3"/>
        <w:spacing w:before="156" w:after="156"/>
        <w:ind w:left="567" w:hanging="567"/>
      </w:pPr>
      <w:bookmarkStart w:id="2" w:name="_Toc29561"/>
      <w:r>
        <w:rPr>
          <w:rFonts w:hint="eastAsia"/>
        </w:rPr>
        <w:t>机构职责</w:t>
      </w:r>
      <w:bookmarkEnd w:id="2"/>
    </w:p>
    <w:p>
      <w:pPr>
        <w:spacing w:before="156" w:after="156"/>
      </w:pPr>
      <w:r>
        <w:rPr>
          <w:rFonts w:hint="eastAsia"/>
        </w:rPr>
        <w:t>深圳联交所秉承“阳光交易、价值发现”的经营理念，以国有产权交易为基础，为各类经济主体提供阳光、高效的第三方平台服务。经营范围包括为产（股）权、知识产权、大数据、公共资源、文化产权、环境权益等各类权益，以及各类债权、不良资产、金融资产、私募基金及私募金融产品的发行、定价、登记、托管、挂牌、鉴（见）证、交易、过户、结算提供场所、设施和服务；提供与前述业务相关的技术、信息、培训、咨询、财务顾问等服务；提供资源型资产招租、大宗物资采购、企业改制辅导、项目投融资等相关服务；开展房地产经纪、代理及信息咨询业务。</w:t>
      </w:r>
    </w:p>
    <w:p>
      <w:pPr>
        <w:pStyle w:val="2"/>
        <w:spacing w:before="312" w:after="312"/>
      </w:pPr>
      <w:bookmarkStart w:id="3" w:name="_Toc18554"/>
      <w:r>
        <w:rPr>
          <w:rFonts w:hint="eastAsia"/>
          <w:lang w:val="en-US" w:eastAsia="zh-CN"/>
        </w:rPr>
        <w:t>系统</w:t>
      </w:r>
      <w:r>
        <w:rPr>
          <w:rFonts w:hint="eastAsia"/>
        </w:rPr>
        <w:t>需求</w:t>
      </w:r>
      <w:bookmarkEnd w:id="3"/>
    </w:p>
    <w:p>
      <w:pPr>
        <w:pStyle w:val="3"/>
        <w:spacing w:before="156" w:after="156"/>
      </w:pPr>
      <w:bookmarkStart w:id="4" w:name="_Toc2395"/>
      <w:r>
        <w:rPr>
          <w:rFonts w:hint="eastAsia"/>
        </w:rPr>
        <w:t>建设内容和目标</w:t>
      </w:r>
      <w:bookmarkEnd w:id="4"/>
    </w:p>
    <w:p>
      <w:pPr>
        <w:spacing w:before="156" w:after="156"/>
      </w:pPr>
      <w:r>
        <w:rPr>
          <w:rFonts w:hint="eastAsia"/>
        </w:rPr>
        <w:t>通过“i 深圳”开放平台方提供的视觉规范、交互规范、接口规范等标准，整合现有系统及数据，采用重新开发和页面改造相结合方式，适配符合“i 深圳”标准的移动端 H5 页面，接入</w:t>
      </w:r>
      <w:bookmarkStart w:id="5" w:name="OLE_LINK1"/>
      <w:r>
        <w:rPr>
          <w:rFonts w:hint="eastAsia"/>
        </w:rPr>
        <w:t>到“i 深圳”</w:t>
      </w:r>
      <w:bookmarkEnd w:id="5"/>
      <w:r>
        <w:rPr>
          <w:rFonts w:hint="eastAsia"/>
        </w:rPr>
        <w:t>。</w:t>
      </w:r>
    </w:p>
    <w:p>
      <w:pPr>
        <w:pStyle w:val="3"/>
        <w:spacing w:before="156" w:after="156"/>
        <w:ind w:left="567" w:hanging="567"/>
      </w:pPr>
      <w:bookmarkStart w:id="6" w:name="_Toc32636"/>
      <w:r>
        <w:rPr>
          <w:rFonts w:hint="eastAsia"/>
        </w:rPr>
        <w:t>业务需求</w:t>
      </w:r>
      <w:bookmarkEnd w:id="6"/>
    </w:p>
    <w:p>
      <w:pPr>
        <w:pStyle w:val="4"/>
        <w:spacing w:before="156" w:after="156"/>
      </w:pPr>
      <w:bookmarkStart w:id="7" w:name="_Toc18808"/>
      <w:r>
        <w:rPr>
          <w:rFonts w:hint="eastAsia"/>
        </w:rPr>
        <w:t>业务概述</w:t>
      </w:r>
      <w:bookmarkEnd w:id="7"/>
    </w:p>
    <w:p>
      <w:pPr>
        <w:spacing w:before="156" w:after="156"/>
        <w:ind w:firstLineChars="0"/>
      </w:pPr>
      <w:r>
        <w:rPr>
          <w:rFonts w:hint="eastAsia"/>
        </w:rPr>
        <w:t>公共资源交易包括国有产（股）权交易、行政事业单位资产处置、公有物业租赁交易、社区股份公司“三资”交易、大宗采购服务、土地合作开发、小额工程项目以及其他公共权益与服务的交易业务。</w:t>
      </w:r>
    </w:p>
    <w:p>
      <w:pPr>
        <w:pStyle w:val="4"/>
        <w:spacing w:before="156" w:after="156"/>
      </w:pPr>
      <w:bookmarkStart w:id="8" w:name="_Toc8793"/>
      <w:r>
        <w:rPr>
          <w:rFonts w:hint="eastAsia"/>
        </w:rPr>
        <w:t>业务说明</w:t>
      </w:r>
      <w:bookmarkEnd w:id="8"/>
    </w:p>
    <w:p>
      <w:pPr>
        <w:spacing w:before="156" w:after="156"/>
        <w:ind w:firstLineChars="0"/>
      </w:pPr>
      <w:r>
        <w:rPr>
          <w:rFonts w:hint="eastAsia"/>
        </w:rPr>
        <w:t>通过接入到“i 深圳”，整合产权交易服务和产权交易信息数据的发布渠道，方便公众广泛关注和参与公共资源交易，为公众提供信息公告在线查询、预约报名、身份认证、消息交互等相关功能。</w:t>
      </w:r>
    </w:p>
    <w:p>
      <w:pPr>
        <w:pStyle w:val="4"/>
        <w:spacing w:before="156" w:after="156"/>
      </w:pPr>
      <w:bookmarkStart w:id="9" w:name="_Toc32615"/>
      <w:r>
        <w:rPr>
          <w:rFonts w:hint="eastAsia"/>
        </w:rPr>
        <w:t>业务规则</w:t>
      </w:r>
      <w:bookmarkEnd w:id="9"/>
    </w:p>
    <w:p>
      <w:pPr>
        <w:pStyle w:val="27"/>
        <w:numPr>
          <w:ilvl w:val="0"/>
          <w:numId w:val="4"/>
        </w:numPr>
        <w:spacing w:before="156" w:after="156"/>
        <w:ind w:firstLineChars="0"/>
      </w:pPr>
      <w:r>
        <w:rPr>
          <w:rFonts w:hint="eastAsia"/>
        </w:rPr>
        <w:t>进入联交所平台公开交易的公共资源交易项目与“i深圳”平台上发布的项目信息相匹配。</w:t>
      </w:r>
    </w:p>
    <w:p>
      <w:pPr>
        <w:pStyle w:val="27"/>
        <w:numPr>
          <w:ilvl w:val="0"/>
          <w:numId w:val="4"/>
        </w:numPr>
        <w:spacing w:before="156" w:after="156"/>
        <w:ind w:firstLineChars="0"/>
      </w:pPr>
      <w:r>
        <w:rPr>
          <w:rFonts w:hint="eastAsia"/>
        </w:rPr>
        <w:t>随着业务开展和项目实施，及时向社会公众发布公共资源交易公告、受理进度、资格审查结果、成交公示等，实现公共资源配置信息全程公开、全程留痕。</w:t>
      </w:r>
    </w:p>
    <w:p>
      <w:pPr>
        <w:pStyle w:val="3"/>
        <w:spacing w:before="156" w:after="156"/>
        <w:ind w:left="567" w:hanging="567"/>
      </w:pPr>
      <w:bookmarkStart w:id="10" w:name="_Toc19612"/>
      <w:r>
        <w:rPr>
          <w:rFonts w:hint="eastAsia"/>
        </w:rPr>
        <w:t>功能需求</w:t>
      </w:r>
      <w:bookmarkEnd w:id="10"/>
    </w:p>
    <w:p>
      <w:pPr>
        <w:spacing w:before="156" w:after="156"/>
        <w:ind w:left="480" w:leftChars="200" w:firstLine="0" w:firstLineChars="0"/>
      </w:pPr>
      <w:r>
        <w:rPr>
          <w:rFonts w:hint="eastAsia"/>
          <w:b/>
          <w:bCs/>
        </w:rPr>
        <w:t>公共资源交易门户：</w:t>
      </w:r>
      <w:r>
        <w:rPr>
          <w:rFonts w:hint="eastAsia"/>
        </w:rPr>
        <w:t>提供信息聚合的“i 深圳”统一信息门户，提供所有服务入口功能。需要针对“i 深圳”项目，在现有网站系统框架下全新开发一个H5移动端站点，站点要求符合“i 深圳”开放平台方提供的视觉规范、交互规范、接口规范等标准。对接后，通过i深圳公共资源交易门户为公众提供公告信息检索功能、公告信息列表功能及公告信息展示功能，并为公众提供身份认证、预约报名及消息交互的入口。</w:t>
      </w:r>
    </w:p>
    <w:p>
      <w:pPr>
        <w:spacing w:before="156" w:after="156"/>
        <w:ind w:left="480" w:leftChars="200" w:firstLine="0" w:firstLineChars="0"/>
      </w:pPr>
      <w:r>
        <w:rPr>
          <w:rFonts w:hint="eastAsia"/>
          <w:b/>
          <w:bCs/>
        </w:rPr>
        <w:t>公告信息检索功能：</w:t>
      </w:r>
      <w:r>
        <w:rPr>
          <w:rFonts w:hint="eastAsia"/>
        </w:rPr>
        <w:t>根据不同的检索条件，提供公共资源类交易公告信息查询功能。公告检索、列表、公告展现由i深圳公共资源交易门户请求联交所产权交易信息门户网站相应接口，接口返回数据后，由i深圳公共资源交易门户加载并局部刷新呈现。</w:t>
      </w:r>
    </w:p>
    <w:p>
      <w:pPr>
        <w:spacing w:before="156" w:after="156"/>
        <w:ind w:left="480" w:leftChars="200" w:firstLine="0" w:firstLineChars="0"/>
      </w:pPr>
      <w:r>
        <w:rPr>
          <w:rFonts w:hint="eastAsia"/>
          <w:b/>
          <w:bCs/>
        </w:rPr>
        <w:t>公告信息列表功能：</w:t>
      </w:r>
      <w:r>
        <w:rPr>
          <w:rFonts w:hint="eastAsia"/>
        </w:rPr>
        <w:t>提供股权转让、资产转让、增资扩股、物业租赁、招标采购等不同种类交易业务分类列表功能及分页功能。</w:t>
      </w:r>
    </w:p>
    <w:p>
      <w:pPr>
        <w:spacing w:before="156" w:after="156"/>
        <w:ind w:left="480" w:leftChars="200" w:firstLine="0" w:firstLineChars="0"/>
      </w:pPr>
      <w:r>
        <w:rPr>
          <w:rFonts w:hint="eastAsia"/>
          <w:b/>
          <w:bCs/>
        </w:rPr>
        <w:t>公告信息展示功能：</w:t>
      </w:r>
      <w:r>
        <w:rPr>
          <w:rFonts w:hint="eastAsia"/>
          <w:b w:val="0"/>
          <w:bCs w:val="0"/>
        </w:rPr>
        <w:t>提供股权转让类、资产转让类、增资扩股类、物业租赁类、大宗采购及土地合作开发类项目公告</w:t>
      </w:r>
      <w:r>
        <w:rPr>
          <w:rFonts w:hint="eastAsia"/>
        </w:rPr>
        <w:t>信息详细页面展示功能，公告披露信息完整、准确，格式友好。</w:t>
      </w:r>
    </w:p>
    <w:p>
      <w:pPr>
        <w:spacing w:before="156" w:after="156"/>
        <w:ind w:left="480" w:leftChars="200" w:firstLine="0" w:firstLineChars="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账户管理功能：</w:t>
      </w:r>
      <w:r>
        <w:rPr>
          <w:rFonts w:hint="eastAsia"/>
          <w:b w:val="0"/>
          <w:bCs w:val="0"/>
          <w:lang w:val="en-US" w:eastAsia="zh-CN"/>
        </w:rPr>
        <w:t>为i深圳APP用户提供用户账号管理功能，包括：完善用户信息、用户账户绑定、用户注册、用户登录等功能。</w:t>
      </w:r>
    </w:p>
    <w:p>
      <w:pPr>
        <w:spacing w:before="156" w:after="156"/>
        <w:ind w:left="480" w:leftChars="200" w:firstLine="0" w:firstLineChars="0"/>
      </w:pPr>
      <w:r>
        <w:rPr>
          <w:rFonts w:hint="eastAsia"/>
          <w:b/>
          <w:bCs/>
        </w:rPr>
        <w:t>身份认证功能：</w:t>
      </w:r>
      <w:r>
        <w:rPr>
          <w:rFonts w:hint="eastAsia"/>
        </w:rPr>
        <w:t>结合“i 深圳”平台API，提供用户实名认证功能。身份认证功能需要调用“i 深圳”开放平台相关接口，判断用户是否已经登录、是否授权、是否实名认证、是否授权访问等接口。</w:t>
      </w:r>
    </w:p>
    <w:p>
      <w:pPr>
        <w:spacing w:before="156" w:after="156"/>
        <w:ind w:left="480" w:leftChars="20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预约报名功能：</w:t>
      </w:r>
      <w:r>
        <w:rPr>
          <w:rFonts w:hint="eastAsia"/>
        </w:rPr>
        <w:t>为登录用户提供公共资源交易项目在线预约报名功能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包括：</w:t>
      </w:r>
      <w:r>
        <w:rPr>
          <w:rFonts w:hint="eastAsia"/>
        </w:rPr>
        <w:t>受让申请与承诺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填写报名信息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上传报名材料</w:t>
      </w:r>
      <w:r>
        <w:rPr>
          <w:rFonts w:hint="eastAsia"/>
          <w:lang w:val="en-US" w:eastAsia="zh-CN"/>
        </w:rPr>
        <w:t>等功能。</w:t>
      </w:r>
    </w:p>
    <w:p>
      <w:pPr>
        <w:spacing w:before="156" w:after="156"/>
        <w:ind w:left="480" w:leftChars="200" w:firstLine="0" w:firstLineChars="0"/>
        <w:rPr>
          <w:rFonts w:hint="eastAsia"/>
        </w:rPr>
      </w:pPr>
      <w:r>
        <w:rPr>
          <w:rFonts w:hint="eastAsia"/>
          <w:b/>
          <w:bCs/>
        </w:rPr>
        <w:t>消息交互功能：</w:t>
      </w:r>
      <w:r>
        <w:rPr>
          <w:rFonts w:hint="eastAsia"/>
        </w:rPr>
        <w:t>为登录用户提供交易项目在线咨询及交易过程消息推送功能。消息交互功能需调用“i 深圳”开放平台政企号用户发送消息通知接口，实现用户咨询回复、参与项目状态变更等通知推送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交易过程消息推送</w:t>
      </w:r>
      <w:r>
        <w:rPr>
          <w:rFonts w:hint="eastAsia"/>
          <w:lang w:val="en-US" w:eastAsia="zh-CN"/>
        </w:rPr>
        <w:t>等功能</w:t>
      </w:r>
      <w:r>
        <w:rPr>
          <w:rFonts w:hint="eastAsia"/>
        </w:rPr>
        <w:t>。</w:t>
      </w:r>
    </w:p>
    <w:p>
      <w:pPr>
        <w:spacing w:before="156" w:after="156"/>
        <w:ind w:left="480" w:leftChars="20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系统接口功能：</w:t>
      </w:r>
      <w:r>
        <w:rPr>
          <w:rFonts w:hint="eastAsia"/>
          <w:b w:val="0"/>
          <w:bCs w:val="0"/>
          <w:lang w:val="en-US" w:eastAsia="zh-CN"/>
        </w:rPr>
        <w:t>需要针对“i 深圳”项目，对公告服务模块、用户登录认证模块、项目报名模块、项目咨询答疑、消息推送模块的服务和数据进行接口层改造。改造后，将为i深圳公共资源交易门户提供统一的公告检索、公告列表、公告展示、统一身份认证、用户授权注册/登录、用户实名认证、项目预约报名、项目在线咨询答疑、交易消息推送等接口调用服务。接口采用RESTful架构，数据格式使用JSON格式，通信协议采用HTTPS，接口需采用加密机制对数据进行保护，支持分布式部署和高并发访问，接口实现完整的授权、访问控制、时间戳超时、数据签名校验、访问限流、拒绝重复调用及黑白名单等安全机制。</w:t>
      </w:r>
    </w:p>
    <w:p>
      <w:pPr>
        <w:pStyle w:val="3"/>
        <w:spacing w:before="156" w:after="156"/>
        <w:ind w:left="567" w:hanging="567"/>
        <w:rPr>
          <w:rFonts w:hint="eastAsia"/>
          <w:lang w:val="en-US" w:eastAsia="zh-CN"/>
        </w:rPr>
      </w:pPr>
      <w:bookmarkStart w:id="11" w:name="_Toc9615"/>
      <w:r>
        <w:rPr>
          <w:rFonts w:hint="eastAsia"/>
          <w:lang w:val="en-US" w:eastAsia="zh-CN"/>
        </w:rPr>
        <w:t>参考规范</w:t>
      </w:r>
      <w:bookmarkEnd w:id="11"/>
    </w:p>
    <w:p>
      <w:pPr>
        <w:spacing w:before="156" w:after="156"/>
        <w:ind w:left="480" w:leftChars="20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i深圳</w:t>
      </w:r>
      <w:r>
        <w:rPr>
          <w:rFonts w:hint="eastAsia"/>
        </w:rPr>
        <w:t>接口</w:t>
      </w:r>
      <w:r>
        <w:rPr>
          <w:rFonts w:hint="eastAsia"/>
          <w:lang w:val="en-US" w:eastAsia="zh-CN"/>
        </w:rPr>
        <w:t>规范</w:t>
      </w:r>
      <w:r>
        <w:rPr>
          <w:rFonts w:hint="eastAsia"/>
        </w:rPr>
        <w:t>文档：</w:t>
      </w:r>
      <w:r>
        <w:rPr>
          <w:rFonts w:hint="eastAsia"/>
        </w:rPr>
        <w:t>http://isz-open.sz.gov.cn</w:t>
      </w:r>
    </w:p>
    <w:p>
      <w:pPr>
        <w:pStyle w:val="3"/>
        <w:spacing w:before="156" w:after="156"/>
        <w:ind w:left="567" w:hanging="56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安全要求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交付的系统无非授权访问的后门程序或安全漏洞风险。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交付的系统及第三方库不存在已公开的安全漏洞问题。</w:t>
      </w:r>
    </w:p>
    <w:p>
      <w:pPr>
        <w:pStyle w:val="3"/>
        <w:spacing w:before="156" w:after="156"/>
        <w:ind w:left="567" w:hanging="567"/>
        <w:rPr>
          <w:rFonts w:hint="eastAsia"/>
          <w:lang w:val="en-US" w:eastAsia="zh-CN"/>
        </w:rPr>
      </w:pPr>
      <w:bookmarkStart w:id="12" w:name="_GoBack"/>
      <w:bookmarkEnd w:id="12"/>
      <w:r>
        <w:rPr>
          <w:rFonts w:hint="eastAsia"/>
          <w:lang w:val="en-US" w:eastAsia="zh-CN"/>
        </w:rPr>
        <w:t>性能要求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整体服务支持2万在线用户。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门户网站在1000并发下，页面呈现平均响应时间应低于1秒、检索结果呈现平均响应时间应低于10秒。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系统接口在500用户并发调用时，请求成功率不低于99.999%，响应时间应低于3秒。</w:t>
      </w:r>
    </w:p>
    <w:p>
      <w:pPr>
        <w:pStyle w:val="3"/>
        <w:spacing w:before="156" w:after="156"/>
        <w:ind w:left="567" w:hanging="56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进度要求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供应商需在2019年5月31日前完成系统开发和交付，并需配合i深圳对接技术组完成对系统的功能、性能及安全评测，结果满足要求并正式上线运营。</w:t>
      </w:r>
    </w:p>
    <w:p>
      <w:pPr>
        <w:pStyle w:val="3"/>
        <w:spacing w:before="156" w:after="156"/>
        <w:ind w:left="567" w:hanging="56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其它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该项目需交付涉及该项目的全部源码文件。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需要合法引用开源库或第三方库。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需要合法使用字体、图片等美术作品。</w:t>
      </w:r>
    </w:p>
    <w:p>
      <w:pPr>
        <w:spacing w:before="156" w:after="156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55941"/>
    </w:sdtPr>
    <w:sdtContent>
      <w:p>
        <w:pPr>
          <w:pStyle w:val="14"/>
          <w:spacing w:before="120" w:after="120"/>
          <w:ind w:firstLine="360"/>
        </w:pPr>
      </w:p>
      <w:p>
        <w:pPr>
          <w:pStyle w:val="14"/>
          <w:spacing w:before="120" w:after="120"/>
          <w:ind w:firstLine="360"/>
        </w:pPr>
      </w:p>
    </w:sdtContent>
  </w:sdt>
  <w:p>
    <w:pPr>
      <w:pStyle w:val="1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3675437"/>
    </w:sdtPr>
    <w:sdtContent>
      <w:p>
        <w:pPr>
          <w:pStyle w:val="14"/>
          <w:spacing w:before="120" w:after="12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II</w:t>
        </w:r>
        <w:r>
          <w:fldChar w:fldCharType="end"/>
        </w:r>
      </w:p>
      <w:p>
        <w:pPr>
          <w:pStyle w:val="14"/>
          <w:spacing w:before="120" w:after="120"/>
          <w:ind w:firstLine="360"/>
          <w:jc w:val="right"/>
        </w:pPr>
      </w:p>
    </w:sdtContent>
  </w:sdt>
  <w:p>
    <w:pPr>
      <w:pStyle w:val="14"/>
      <w:spacing w:before="120" w:after="120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5118628"/>
      <w:docPartObj>
        <w:docPartGallery w:val="autotext"/>
      </w:docPartObj>
    </w:sdtPr>
    <w:sdtContent>
      <w:sdt>
        <w:sdtPr>
          <w:id w:val="115649940"/>
          <w:docPartObj>
            <w:docPartGallery w:val="autotext"/>
          </w:docPartObj>
        </w:sdtPr>
        <w:sdtContent>
          <w:p>
            <w:pPr>
              <w:pStyle w:val="14"/>
              <w:spacing w:before="120" w:after="120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  <w:ind w:firstLine="360"/>
    </w:pPr>
    <w:r>
      <w:rPr>
        <w:rFonts w:hint="eastAsia"/>
      </w:rPr>
      <w:t>联交所i深圳对接需求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3D78"/>
    <w:multiLevelType w:val="multilevel"/>
    <w:tmpl w:val="1FE53D78"/>
    <w:lvl w:ilvl="0" w:tentative="0">
      <w:start w:val="1"/>
      <w:numFmt w:val="chineseCountingThousand"/>
      <w:pStyle w:val="2"/>
      <w:lvlText w:val="第%1章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2206D034"/>
    <w:multiLevelType w:val="singleLevel"/>
    <w:tmpl w:val="2206D03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9283BBA"/>
    <w:multiLevelType w:val="multilevel"/>
    <w:tmpl w:val="49283BB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DF15029"/>
    <w:multiLevelType w:val="singleLevel"/>
    <w:tmpl w:val="4DF1502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4BFDBE7"/>
    <w:multiLevelType w:val="singleLevel"/>
    <w:tmpl w:val="74BFDBE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chineseCountingThousand"/>
        <w:lvlText w:val="第%1章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pStyle w:val="3"/>
        <w:isLgl/>
        <w:lvlText w:val="%1.%2."/>
        <w:lvlJc w:val="left"/>
        <w:pPr>
          <w:ind w:left="1843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isLgl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isLgl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isLgl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3">
    <w:abstractNumId w:val="0"/>
    <w:lvlOverride w:ilvl="0">
      <w:lvl w:ilvl="0" w:tentative="1">
        <w:start w:val="1"/>
        <w:numFmt w:val="chineseCountingThousand"/>
        <w:lvlText w:val="第%1章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isLgl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 w:tentative="1">
        <w:start w:val="1"/>
        <w:numFmt w:val="decimal"/>
        <w:pStyle w:val="5"/>
        <w:isLgl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isLgl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isLgl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8E"/>
    <w:rsid w:val="00005932"/>
    <w:rsid w:val="0001229B"/>
    <w:rsid w:val="000226B5"/>
    <w:rsid w:val="000434C8"/>
    <w:rsid w:val="00055B68"/>
    <w:rsid w:val="00081FF6"/>
    <w:rsid w:val="000A3308"/>
    <w:rsid w:val="000C2CA9"/>
    <w:rsid w:val="0010757A"/>
    <w:rsid w:val="00107CF8"/>
    <w:rsid w:val="001126C9"/>
    <w:rsid w:val="001227CA"/>
    <w:rsid w:val="00141637"/>
    <w:rsid w:val="00150D4A"/>
    <w:rsid w:val="001610E1"/>
    <w:rsid w:val="00161588"/>
    <w:rsid w:val="00167444"/>
    <w:rsid w:val="0017196D"/>
    <w:rsid w:val="00171F94"/>
    <w:rsid w:val="00182434"/>
    <w:rsid w:val="001837E5"/>
    <w:rsid w:val="001A357E"/>
    <w:rsid w:val="001A6A35"/>
    <w:rsid w:val="001B490B"/>
    <w:rsid w:val="001F075F"/>
    <w:rsid w:val="001F3E16"/>
    <w:rsid w:val="001F5FDA"/>
    <w:rsid w:val="002100F6"/>
    <w:rsid w:val="002101A2"/>
    <w:rsid w:val="002154FE"/>
    <w:rsid w:val="002249B0"/>
    <w:rsid w:val="0023128A"/>
    <w:rsid w:val="0023279A"/>
    <w:rsid w:val="00234E35"/>
    <w:rsid w:val="00267B74"/>
    <w:rsid w:val="00281EF2"/>
    <w:rsid w:val="00286127"/>
    <w:rsid w:val="00291FAD"/>
    <w:rsid w:val="0029622A"/>
    <w:rsid w:val="002B4440"/>
    <w:rsid w:val="002C5B76"/>
    <w:rsid w:val="002C5BC6"/>
    <w:rsid w:val="002E4433"/>
    <w:rsid w:val="002E4E97"/>
    <w:rsid w:val="002E5D16"/>
    <w:rsid w:val="00304F43"/>
    <w:rsid w:val="00314EC8"/>
    <w:rsid w:val="003205C1"/>
    <w:rsid w:val="00320ACF"/>
    <w:rsid w:val="003238D7"/>
    <w:rsid w:val="00336709"/>
    <w:rsid w:val="003374AA"/>
    <w:rsid w:val="0033768E"/>
    <w:rsid w:val="003433EE"/>
    <w:rsid w:val="003516F3"/>
    <w:rsid w:val="00371087"/>
    <w:rsid w:val="00371B4B"/>
    <w:rsid w:val="00372549"/>
    <w:rsid w:val="00375AC2"/>
    <w:rsid w:val="003859BE"/>
    <w:rsid w:val="00394DB4"/>
    <w:rsid w:val="003B6C01"/>
    <w:rsid w:val="003C22B3"/>
    <w:rsid w:val="003E60E2"/>
    <w:rsid w:val="003E6333"/>
    <w:rsid w:val="0040557B"/>
    <w:rsid w:val="00422E1B"/>
    <w:rsid w:val="00426BE0"/>
    <w:rsid w:val="00450048"/>
    <w:rsid w:val="00451EA6"/>
    <w:rsid w:val="00454C6B"/>
    <w:rsid w:val="004721CB"/>
    <w:rsid w:val="00480DC1"/>
    <w:rsid w:val="004A06FD"/>
    <w:rsid w:val="004D4879"/>
    <w:rsid w:val="004D5C6D"/>
    <w:rsid w:val="005016E2"/>
    <w:rsid w:val="00512EB6"/>
    <w:rsid w:val="00544769"/>
    <w:rsid w:val="00547317"/>
    <w:rsid w:val="00561B6F"/>
    <w:rsid w:val="00574A70"/>
    <w:rsid w:val="00585B08"/>
    <w:rsid w:val="00590AFF"/>
    <w:rsid w:val="005911FC"/>
    <w:rsid w:val="00591CAE"/>
    <w:rsid w:val="005956D5"/>
    <w:rsid w:val="005A068A"/>
    <w:rsid w:val="005A2C8E"/>
    <w:rsid w:val="005B0C80"/>
    <w:rsid w:val="005C6353"/>
    <w:rsid w:val="00615CAA"/>
    <w:rsid w:val="00623AF8"/>
    <w:rsid w:val="00623DAD"/>
    <w:rsid w:val="00624D56"/>
    <w:rsid w:val="00640B78"/>
    <w:rsid w:val="00641E36"/>
    <w:rsid w:val="006454C7"/>
    <w:rsid w:val="00651DCB"/>
    <w:rsid w:val="00697992"/>
    <w:rsid w:val="006A59BF"/>
    <w:rsid w:val="006B78BA"/>
    <w:rsid w:val="006C6C44"/>
    <w:rsid w:val="006D719B"/>
    <w:rsid w:val="00705C2D"/>
    <w:rsid w:val="00712EF5"/>
    <w:rsid w:val="00734716"/>
    <w:rsid w:val="0073506F"/>
    <w:rsid w:val="007357C0"/>
    <w:rsid w:val="00756783"/>
    <w:rsid w:val="00777A45"/>
    <w:rsid w:val="007C2366"/>
    <w:rsid w:val="007C79F8"/>
    <w:rsid w:val="007F34EC"/>
    <w:rsid w:val="007F48C5"/>
    <w:rsid w:val="008033B6"/>
    <w:rsid w:val="008126D3"/>
    <w:rsid w:val="00815B1C"/>
    <w:rsid w:val="008374CE"/>
    <w:rsid w:val="008377E7"/>
    <w:rsid w:val="00842806"/>
    <w:rsid w:val="00853EE1"/>
    <w:rsid w:val="008565BF"/>
    <w:rsid w:val="008569C1"/>
    <w:rsid w:val="008653E8"/>
    <w:rsid w:val="00866B33"/>
    <w:rsid w:val="0088429F"/>
    <w:rsid w:val="00893574"/>
    <w:rsid w:val="00894977"/>
    <w:rsid w:val="008D723E"/>
    <w:rsid w:val="008F49F8"/>
    <w:rsid w:val="009008CF"/>
    <w:rsid w:val="00913D39"/>
    <w:rsid w:val="00914B14"/>
    <w:rsid w:val="00915B9E"/>
    <w:rsid w:val="00927F3A"/>
    <w:rsid w:val="00933463"/>
    <w:rsid w:val="009464DF"/>
    <w:rsid w:val="0095762B"/>
    <w:rsid w:val="00975D1D"/>
    <w:rsid w:val="00986D34"/>
    <w:rsid w:val="00990840"/>
    <w:rsid w:val="009A2415"/>
    <w:rsid w:val="009C10B4"/>
    <w:rsid w:val="009C48D7"/>
    <w:rsid w:val="009D3ED7"/>
    <w:rsid w:val="009D4EE7"/>
    <w:rsid w:val="009F625F"/>
    <w:rsid w:val="00A01111"/>
    <w:rsid w:val="00A31C62"/>
    <w:rsid w:val="00A34CFD"/>
    <w:rsid w:val="00A35C20"/>
    <w:rsid w:val="00A364F2"/>
    <w:rsid w:val="00A50446"/>
    <w:rsid w:val="00A52A83"/>
    <w:rsid w:val="00A575E9"/>
    <w:rsid w:val="00A64DA2"/>
    <w:rsid w:val="00A71A7A"/>
    <w:rsid w:val="00A73465"/>
    <w:rsid w:val="00A8120C"/>
    <w:rsid w:val="00A8363A"/>
    <w:rsid w:val="00A86941"/>
    <w:rsid w:val="00A956A5"/>
    <w:rsid w:val="00AA32B1"/>
    <w:rsid w:val="00AB3C6C"/>
    <w:rsid w:val="00AC0762"/>
    <w:rsid w:val="00AE0E0D"/>
    <w:rsid w:val="00AF0285"/>
    <w:rsid w:val="00B13D42"/>
    <w:rsid w:val="00B2099A"/>
    <w:rsid w:val="00B22F8A"/>
    <w:rsid w:val="00B35760"/>
    <w:rsid w:val="00B4637C"/>
    <w:rsid w:val="00B46FFE"/>
    <w:rsid w:val="00B92AA7"/>
    <w:rsid w:val="00B96015"/>
    <w:rsid w:val="00B961DE"/>
    <w:rsid w:val="00BB175F"/>
    <w:rsid w:val="00BB73CF"/>
    <w:rsid w:val="00C055F7"/>
    <w:rsid w:val="00C20021"/>
    <w:rsid w:val="00C365F7"/>
    <w:rsid w:val="00C8256B"/>
    <w:rsid w:val="00C85A82"/>
    <w:rsid w:val="00C9295D"/>
    <w:rsid w:val="00C93999"/>
    <w:rsid w:val="00C969CC"/>
    <w:rsid w:val="00CA4FA8"/>
    <w:rsid w:val="00CD05E9"/>
    <w:rsid w:val="00CD08F6"/>
    <w:rsid w:val="00D024B3"/>
    <w:rsid w:val="00D1660D"/>
    <w:rsid w:val="00D4439F"/>
    <w:rsid w:val="00D63C04"/>
    <w:rsid w:val="00D74B87"/>
    <w:rsid w:val="00D85D24"/>
    <w:rsid w:val="00DA3004"/>
    <w:rsid w:val="00DA610B"/>
    <w:rsid w:val="00DC3393"/>
    <w:rsid w:val="00DC4DA8"/>
    <w:rsid w:val="00DC6C89"/>
    <w:rsid w:val="00DE5843"/>
    <w:rsid w:val="00DF108B"/>
    <w:rsid w:val="00DF39C8"/>
    <w:rsid w:val="00E0060C"/>
    <w:rsid w:val="00E02729"/>
    <w:rsid w:val="00E07361"/>
    <w:rsid w:val="00E10319"/>
    <w:rsid w:val="00E21A46"/>
    <w:rsid w:val="00E50705"/>
    <w:rsid w:val="00E57869"/>
    <w:rsid w:val="00E62B5D"/>
    <w:rsid w:val="00E643B2"/>
    <w:rsid w:val="00E732CE"/>
    <w:rsid w:val="00E73638"/>
    <w:rsid w:val="00E903F8"/>
    <w:rsid w:val="00E907BC"/>
    <w:rsid w:val="00E91283"/>
    <w:rsid w:val="00E97C89"/>
    <w:rsid w:val="00EA67CD"/>
    <w:rsid w:val="00EB1114"/>
    <w:rsid w:val="00EB72AC"/>
    <w:rsid w:val="00EC5E4C"/>
    <w:rsid w:val="00F01434"/>
    <w:rsid w:val="00F6743B"/>
    <w:rsid w:val="00F71B8A"/>
    <w:rsid w:val="00FD09BC"/>
    <w:rsid w:val="00FE4870"/>
    <w:rsid w:val="00FF453D"/>
    <w:rsid w:val="01612EAB"/>
    <w:rsid w:val="017663C8"/>
    <w:rsid w:val="01995810"/>
    <w:rsid w:val="02695095"/>
    <w:rsid w:val="03186857"/>
    <w:rsid w:val="043C2455"/>
    <w:rsid w:val="04703158"/>
    <w:rsid w:val="04935BBE"/>
    <w:rsid w:val="05F967C0"/>
    <w:rsid w:val="07A6388F"/>
    <w:rsid w:val="087D5C02"/>
    <w:rsid w:val="09573806"/>
    <w:rsid w:val="09CB13DC"/>
    <w:rsid w:val="0AAF1751"/>
    <w:rsid w:val="0ACE686C"/>
    <w:rsid w:val="0AFE5840"/>
    <w:rsid w:val="0B0612C6"/>
    <w:rsid w:val="0C4D2C8F"/>
    <w:rsid w:val="0DD84FB0"/>
    <w:rsid w:val="0E6023CD"/>
    <w:rsid w:val="0E615005"/>
    <w:rsid w:val="0EDD643B"/>
    <w:rsid w:val="0F1143E5"/>
    <w:rsid w:val="0F456AED"/>
    <w:rsid w:val="0F5947FF"/>
    <w:rsid w:val="0F5C45B0"/>
    <w:rsid w:val="11F90519"/>
    <w:rsid w:val="12E62CDC"/>
    <w:rsid w:val="131C63F1"/>
    <w:rsid w:val="13913F4D"/>
    <w:rsid w:val="147E1A2A"/>
    <w:rsid w:val="148F1D88"/>
    <w:rsid w:val="15681399"/>
    <w:rsid w:val="16020E98"/>
    <w:rsid w:val="167C3134"/>
    <w:rsid w:val="182F53DB"/>
    <w:rsid w:val="186C7365"/>
    <w:rsid w:val="1AA21766"/>
    <w:rsid w:val="1B041894"/>
    <w:rsid w:val="1B9E1DCB"/>
    <w:rsid w:val="1BBA7EFC"/>
    <w:rsid w:val="1C1F7EA3"/>
    <w:rsid w:val="1CB962F0"/>
    <w:rsid w:val="1EF850D3"/>
    <w:rsid w:val="1F22524E"/>
    <w:rsid w:val="1F9607D4"/>
    <w:rsid w:val="1FCA70EB"/>
    <w:rsid w:val="202D1EF9"/>
    <w:rsid w:val="205B6E9E"/>
    <w:rsid w:val="20A7068A"/>
    <w:rsid w:val="20DA77BE"/>
    <w:rsid w:val="21363FDA"/>
    <w:rsid w:val="213A4209"/>
    <w:rsid w:val="2260721C"/>
    <w:rsid w:val="22E22619"/>
    <w:rsid w:val="236301E0"/>
    <w:rsid w:val="24FC2B2E"/>
    <w:rsid w:val="25092A4C"/>
    <w:rsid w:val="253709BB"/>
    <w:rsid w:val="26561678"/>
    <w:rsid w:val="27456328"/>
    <w:rsid w:val="298D7E7A"/>
    <w:rsid w:val="2BBE7E21"/>
    <w:rsid w:val="2BC3514E"/>
    <w:rsid w:val="2BDE642C"/>
    <w:rsid w:val="2DEC24F7"/>
    <w:rsid w:val="2E3D0797"/>
    <w:rsid w:val="2E4229AE"/>
    <w:rsid w:val="2EB03F63"/>
    <w:rsid w:val="2F0B4871"/>
    <w:rsid w:val="2F3543D2"/>
    <w:rsid w:val="2F9B5B40"/>
    <w:rsid w:val="30AF75CC"/>
    <w:rsid w:val="317755E7"/>
    <w:rsid w:val="31932179"/>
    <w:rsid w:val="33BA7D8B"/>
    <w:rsid w:val="33E24005"/>
    <w:rsid w:val="3517093A"/>
    <w:rsid w:val="35962517"/>
    <w:rsid w:val="37002089"/>
    <w:rsid w:val="3718764E"/>
    <w:rsid w:val="37595D4F"/>
    <w:rsid w:val="377A6016"/>
    <w:rsid w:val="37C60897"/>
    <w:rsid w:val="37D41C06"/>
    <w:rsid w:val="384538DC"/>
    <w:rsid w:val="38F04817"/>
    <w:rsid w:val="3C572D1B"/>
    <w:rsid w:val="3CA135BF"/>
    <w:rsid w:val="3D8C00D4"/>
    <w:rsid w:val="3E051578"/>
    <w:rsid w:val="3E1143E1"/>
    <w:rsid w:val="3E186F08"/>
    <w:rsid w:val="3EFF4301"/>
    <w:rsid w:val="3F6D3CCE"/>
    <w:rsid w:val="40843C65"/>
    <w:rsid w:val="40983D3F"/>
    <w:rsid w:val="409A06B9"/>
    <w:rsid w:val="41A5476C"/>
    <w:rsid w:val="41B9555D"/>
    <w:rsid w:val="41DD4F53"/>
    <w:rsid w:val="42AC4DF3"/>
    <w:rsid w:val="43994274"/>
    <w:rsid w:val="43DE1811"/>
    <w:rsid w:val="43F66270"/>
    <w:rsid w:val="442C3EB6"/>
    <w:rsid w:val="45DF272F"/>
    <w:rsid w:val="45EB7B91"/>
    <w:rsid w:val="466E524A"/>
    <w:rsid w:val="467076D1"/>
    <w:rsid w:val="472C1215"/>
    <w:rsid w:val="478C737B"/>
    <w:rsid w:val="484B2138"/>
    <w:rsid w:val="48524898"/>
    <w:rsid w:val="4869510F"/>
    <w:rsid w:val="4913534E"/>
    <w:rsid w:val="4A340E28"/>
    <w:rsid w:val="4A6508CC"/>
    <w:rsid w:val="4B5F76CD"/>
    <w:rsid w:val="4BCD4D17"/>
    <w:rsid w:val="4BCD73B9"/>
    <w:rsid w:val="4D6750F0"/>
    <w:rsid w:val="4FFB2E90"/>
    <w:rsid w:val="502B05E2"/>
    <w:rsid w:val="51264916"/>
    <w:rsid w:val="51CF0332"/>
    <w:rsid w:val="51EA6FC8"/>
    <w:rsid w:val="523D6A3A"/>
    <w:rsid w:val="52EB135A"/>
    <w:rsid w:val="52FF1576"/>
    <w:rsid w:val="532D23D2"/>
    <w:rsid w:val="53FA3EBD"/>
    <w:rsid w:val="541F729E"/>
    <w:rsid w:val="54553B05"/>
    <w:rsid w:val="550A1BA2"/>
    <w:rsid w:val="55641CC7"/>
    <w:rsid w:val="55782EE5"/>
    <w:rsid w:val="56120019"/>
    <w:rsid w:val="56B520DB"/>
    <w:rsid w:val="57954635"/>
    <w:rsid w:val="57ED0305"/>
    <w:rsid w:val="589E49EB"/>
    <w:rsid w:val="590F69EA"/>
    <w:rsid w:val="593D3DAD"/>
    <w:rsid w:val="59765489"/>
    <w:rsid w:val="59D61579"/>
    <w:rsid w:val="5A00799D"/>
    <w:rsid w:val="5AC43739"/>
    <w:rsid w:val="5B817A3E"/>
    <w:rsid w:val="5C0655AB"/>
    <w:rsid w:val="5C5661C5"/>
    <w:rsid w:val="5C99775E"/>
    <w:rsid w:val="5CA328F7"/>
    <w:rsid w:val="5D6B5095"/>
    <w:rsid w:val="5DD7041D"/>
    <w:rsid w:val="5EE30ABC"/>
    <w:rsid w:val="5FB102C5"/>
    <w:rsid w:val="616436E0"/>
    <w:rsid w:val="61F16B75"/>
    <w:rsid w:val="62AD031F"/>
    <w:rsid w:val="62C40E08"/>
    <w:rsid w:val="62F16E87"/>
    <w:rsid w:val="6379566A"/>
    <w:rsid w:val="639A1E25"/>
    <w:rsid w:val="63BB2502"/>
    <w:rsid w:val="64244123"/>
    <w:rsid w:val="64823D69"/>
    <w:rsid w:val="64CD1057"/>
    <w:rsid w:val="65591D47"/>
    <w:rsid w:val="65A80DB6"/>
    <w:rsid w:val="673C2AFD"/>
    <w:rsid w:val="68984297"/>
    <w:rsid w:val="68CF2AE4"/>
    <w:rsid w:val="68FB20AF"/>
    <w:rsid w:val="6A0B514D"/>
    <w:rsid w:val="6A615F69"/>
    <w:rsid w:val="6B647097"/>
    <w:rsid w:val="6C19103B"/>
    <w:rsid w:val="6C2F32E3"/>
    <w:rsid w:val="6C5B7E61"/>
    <w:rsid w:val="6D640880"/>
    <w:rsid w:val="6E603E5C"/>
    <w:rsid w:val="6EF05CCB"/>
    <w:rsid w:val="6EF420C4"/>
    <w:rsid w:val="6F094EF1"/>
    <w:rsid w:val="6F4F2DED"/>
    <w:rsid w:val="6F964561"/>
    <w:rsid w:val="6FED2461"/>
    <w:rsid w:val="72147923"/>
    <w:rsid w:val="72E71EDE"/>
    <w:rsid w:val="73CD3BE3"/>
    <w:rsid w:val="74817139"/>
    <w:rsid w:val="75BB0B38"/>
    <w:rsid w:val="788E76D8"/>
    <w:rsid w:val="78E67D61"/>
    <w:rsid w:val="7905279D"/>
    <w:rsid w:val="79D41D06"/>
    <w:rsid w:val="7A0E76DC"/>
    <w:rsid w:val="7B0A78DF"/>
    <w:rsid w:val="7BC3628D"/>
    <w:rsid w:val="7C067488"/>
    <w:rsid w:val="7C5B15C7"/>
    <w:rsid w:val="7D490DCB"/>
    <w:rsid w:val="7D971063"/>
    <w:rsid w:val="7E3D3256"/>
    <w:rsid w:val="7F0153D2"/>
    <w:rsid w:val="7F4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48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pageBreakBefore/>
      <w:numPr>
        <w:ilvl w:val="0"/>
        <w:numId w:val="1"/>
      </w:numPr>
      <w:spacing w:beforeLines="100" w:afterLines="100" w:line="578" w:lineRule="auto"/>
      <w:ind w:left="0"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numPr>
        <w:ilvl w:val="1"/>
        <w:numId w:val="2"/>
      </w:numPr>
      <w:spacing w:line="415" w:lineRule="auto"/>
      <w:ind w:left="0"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numPr>
        <w:ilvl w:val="2"/>
        <w:numId w:val="1"/>
      </w:numPr>
      <w:spacing w:line="415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numPr>
        <w:ilvl w:val="3"/>
        <w:numId w:val="3"/>
      </w:numPr>
      <w:spacing w:line="377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numPr>
        <w:ilvl w:val="4"/>
        <w:numId w:val="1"/>
      </w:numPr>
      <w:spacing w:line="377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numPr>
        <w:ilvl w:val="5"/>
        <w:numId w:val="1"/>
      </w:numPr>
      <w:spacing w:line="319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cstheme="minorHAnsi"/>
      <w:sz w:val="18"/>
      <w:szCs w:val="18"/>
    </w:rPr>
  </w:style>
  <w:style w:type="paragraph" w:styleId="9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10">
    <w:name w:val="toc 5"/>
    <w:basedOn w:val="1"/>
    <w:next w:val="1"/>
    <w:unhideWhenUsed/>
    <w:qFormat/>
    <w:uiPriority w:val="39"/>
    <w:pPr>
      <w:ind w:left="840"/>
      <w:jc w:val="left"/>
    </w:pPr>
    <w:rPr>
      <w:rFonts w:cstheme="minorHAnsi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470"/>
      <w:jc w:val="left"/>
    </w:pPr>
    <w:rPr>
      <w:rFonts w:cstheme="minorHAnsi"/>
      <w:sz w:val="18"/>
      <w:szCs w:val="18"/>
    </w:rPr>
  </w:style>
  <w:style w:type="paragraph" w:styleId="13">
    <w:name w:val="Balloon Text"/>
    <w:basedOn w:val="1"/>
    <w:link w:val="3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5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17">
    <w:name w:val="toc 4"/>
    <w:basedOn w:val="1"/>
    <w:next w:val="1"/>
    <w:unhideWhenUsed/>
    <w:qFormat/>
    <w:uiPriority w:val="39"/>
    <w:pPr>
      <w:ind w:left="630"/>
      <w:jc w:val="left"/>
    </w:pPr>
    <w:rPr>
      <w:rFonts w:cstheme="minorHAnsi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1050"/>
      <w:jc w:val="left"/>
    </w:pPr>
    <w:rPr>
      <w:rFonts w:cstheme="minorHAnsi"/>
      <w:sz w:val="18"/>
      <w:szCs w:val="18"/>
    </w:rPr>
  </w:style>
  <w:style w:type="paragraph" w:styleId="19">
    <w:name w:val="toc 2"/>
    <w:basedOn w:val="1"/>
    <w:next w:val="1"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20">
    <w:name w:val="toc 9"/>
    <w:basedOn w:val="1"/>
    <w:next w:val="1"/>
    <w:unhideWhenUsed/>
    <w:qFormat/>
    <w:uiPriority w:val="39"/>
    <w:pPr>
      <w:ind w:left="1680"/>
      <w:jc w:val="left"/>
    </w:pPr>
    <w:rPr>
      <w:rFonts w:cstheme="minorHAnsi"/>
      <w:sz w:val="18"/>
      <w:szCs w:val="18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7">
    <w:name w:val="List Paragraph"/>
    <w:basedOn w:val="1"/>
    <w:qFormat/>
    <w:uiPriority w:val="99"/>
  </w:style>
  <w:style w:type="character" w:customStyle="1" w:styleId="28">
    <w:name w:val="标题 3 Char"/>
    <w:basedOn w:val="23"/>
    <w:link w:val="4"/>
    <w:qFormat/>
    <w:uiPriority w:val="9"/>
    <w:rPr>
      <w:b/>
      <w:bCs/>
      <w:sz w:val="32"/>
      <w:szCs w:val="32"/>
    </w:rPr>
  </w:style>
  <w:style w:type="character" w:customStyle="1" w:styleId="29">
    <w:name w:val="标题 4 Char"/>
    <w:basedOn w:val="2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5 Char"/>
    <w:basedOn w:val="23"/>
    <w:link w:val="6"/>
    <w:qFormat/>
    <w:uiPriority w:val="9"/>
    <w:rPr>
      <w:b/>
      <w:bCs/>
      <w:sz w:val="28"/>
      <w:szCs w:val="28"/>
    </w:rPr>
  </w:style>
  <w:style w:type="character" w:customStyle="1" w:styleId="31">
    <w:name w:val="标题 6 Char"/>
    <w:basedOn w:val="23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2">
    <w:name w:val="页眉 Char"/>
    <w:basedOn w:val="23"/>
    <w:link w:val="15"/>
    <w:qFormat/>
    <w:uiPriority w:val="99"/>
    <w:rPr>
      <w:sz w:val="18"/>
      <w:szCs w:val="18"/>
    </w:rPr>
  </w:style>
  <w:style w:type="character" w:customStyle="1" w:styleId="33">
    <w:name w:val="页脚 Char"/>
    <w:basedOn w:val="23"/>
    <w:link w:val="14"/>
    <w:qFormat/>
    <w:uiPriority w:val="99"/>
    <w:rPr>
      <w:sz w:val="18"/>
      <w:szCs w:val="18"/>
    </w:rPr>
  </w:style>
  <w:style w:type="character" w:customStyle="1" w:styleId="34">
    <w:name w:val="批注框文本 Char"/>
    <w:basedOn w:val="23"/>
    <w:link w:val="13"/>
    <w:semiHidden/>
    <w:qFormat/>
    <w:uiPriority w:val="99"/>
    <w:rPr>
      <w:sz w:val="18"/>
      <w:szCs w:val="18"/>
    </w:rPr>
  </w:style>
  <w:style w:type="paragraph" w:customStyle="1" w:styleId="35">
    <w:name w:val="表格正文"/>
    <w:basedOn w:val="1"/>
    <w:link w:val="36"/>
    <w:qFormat/>
    <w:uiPriority w:val="0"/>
    <w:pPr>
      <w:spacing w:beforeLines="0" w:afterLines="0" w:line="0" w:lineRule="atLeast"/>
      <w:ind w:firstLine="0" w:firstLineChars="0"/>
    </w:pPr>
    <w:rPr>
      <w:rFonts w:asciiTheme="minorEastAsia" w:hAnsiTheme="minorEastAsia"/>
      <w:szCs w:val="24"/>
    </w:rPr>
  </w:style>
  <w:style w:type="character" w:customStyle="1" w:styleId="36">
    <w:name w:val="表格正文 字符"/>
    <w:basedOn w:val="23"/>
    <w:link w:val="35"/>
    <w:qFormat/>
    <w:uiPriority w:val="0"/>
    <w:rPr>
      <w:rFonts w:asciiTheme="minorEastAsia" w:hAnsiTheme="minorEastAsia" w:eastAsiaTheme="minorEastAsia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E8B71-EA36-4D5D-BED5-2A45078FF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卢明胜</Manager>
  <Company>华昊咨询</Company>
  <Pages>39</Pages>
  <Words>2265</Words>
  <Characters>12917</Characters>
  <Lines>107</Lines>
  <Paragraphs>30</Paragraphs>
  <TotalTime>4</TotalTime>
  <ScaleCrop>false</ScaleCrop>
  <LinksUpToDate>false</LinksUpToDate>
  <CharactersWithSpaces>15152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2018-12-17T08:43:00Z</dcterms:created>
  <dc:creator>administrator</dc:creator>
  <cp:lastModifiedBy>WPS_122153248</cp:lastModifiedBy>
  <dcterms:modified xsi:type="dcterms:W3CDTF">2019-05-13T02:12:39Z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