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7BB" w:rsidRDefault="00F267BB">
      <w:pPr>
        <w:adjustRightInd w:val="0"/>
        <w:snapToGrid w:val="0"/>
        <w:spacing w:beforeLines="50" w:before="156" w:afterLines="50" w:after="156" w:line="360" w:lineRule="auto"/>
        <w:rPr>
          <w:rFonts w:ascii="微软雅黑" w:eastAsia="微软雅黑" w:hAnsi="微软雅黑"/>
          <w:b/>
          <w:sz w:val="56"/>
          <w:szCs w:val="44"/>
        </w:rPr>
      </w:pPr>
    </w:p>
    <w:p w:rsidR="00F267BB" w:rsidRDefault="00C85F06">
      <w:pPr>
        <w:adjustRightInd w:val="0"/>
        <w:snapToGrid w:val="0"/>
        <w:spacing w:beforeLines="50" w:before="156" w:afterLines="50" w:after="156" w:line="360" w:lineRule="auto"/>
        <w:jc w:val="center"/>
        <w:rPr>
          <w:rFonts w:ascii="微软雅黑" w:eastAsia="微软雅黑" w:hAnsi="微软雅黑"/>
          <w:b/>
          <w:sz w:val="36"/>
          <w:szCs w:val="36"/>
        </w:rPr>
      </w:pPr>
      <w:r>
        <w:rPr>
          <w:rFonts w:ascii="微软雅黑" w:eastAsia="微软雅黑" w:hAnsi="微软雅黑"/>
          <w:b/>
          <w:sz w:val="36"/>
          <w:szCs w:val="36"/>
        </w:rPr>
        <w:t>深</w:t>
      </w:r>
      <w:r>
        <w:rPr>
          <w:rFonts w:ascii="微软雅黑" w:eastAsia="微软雅黑" w:hAnsi="微软雅黑" w:hint="eastAsia"/>
          <w:b/>
          <w:sz w:val="36"/>
          <w:szCs w:val="36"/>
        </w:rPr>
        <w:t>圳湾超级总部基地</w:t>
      </w:r>
    </w:p>
    <w:p w:rsidR="00F267BB" w:rsidRDefault="00C85F06">
      <w:pPr>
        <w:adjustRightInd w:val="0"/>
        <w:snapToGrid w:val="0"/>
        <w:spacing w:beforeLines="50" w:before="156" w:afterLines="50" w:after="156" w:line="360" w:lineRule="auto"/>
        <w:jc w:val="center"/>
        <w:rPr>
          <w:rFonts w:ascii="微软雅黑" w:eastAsia="微软雅黑" w:hAnsi="微软雅黑"/>
          <w:b/>
          <w:sz w:val="36"/>
          <w:szCs w:val="36"/>
        </w:rPr>
      </w:pPr>
      <w:r>
        <w:rPr>
          <w:rFonts w:ascii="微软雅黑" w:eastAsia="微软雅黑" w:hAnsi="微软雅黑" w:hint="eastAsia"/>
          <w:b/>
          <w:sz w:val="36"/>
          <w:szCs w:val="36"/>
        </w:rPr>
        <w:t>片区统筹开发建设与运营国际咨</w:t>
      </w:r>
      <w:r>
        <w:rPr>
          <w:rFonts w:ascii="微软雅黑" w:eastAsia="微软雅黑" w:hAnsi="微软雅黑"/>
          <w:b/>
          <w:sz w:val="36"/>
          <w:szCs w:val="36"/>
        </w:rPr>
        <w:t>询</w:t>
      </w:r>
    </w:p>
    <w:p w:rsidR="00F267BB" w:rsidRDefault="00C85F06">
      <w:pPr>
        <w:adjustRightInd w:val="0"/>
        <w:snapToGrid w:val="0"/>
        <w:spacing w:beforeLines="50" w:before="156" w:afterLines="50" w:after="156" w:line="360" w:lineRule="auto"/>
        <w:jc w:val="center"/>
        <w:rPr>
          <w:rFonts w:ascii="微软雅黑" w:eastAsia="微软雅黑" w:hAnsi="微软雅黑"/>
          <w:b/>
          <w:sz w:val="36"/>
          <w:szCs w:val="36"/>
        </w:rPr>
      </w:pPr>
      <w:r>
        <w:rPr>
          <w:rFonts w:ascii="微软雅黑" w:eastAsia="微软雅黑" w:hAnsi="微软雅黑" w:cs="Arial" w:hint="eastAsia"/>
          <w:b/>
          <w:sz w:val="36"/>
          <w:szCs w:val="36"/>
        </w:rPr>
        <w:t>International Consultation for Overall Planning</w:t>
      </w:r>
      <w:r>
        <w:rPr>
          <w:rFonts w:ascii="微软雅黑" w:eastAsia="微软雅黑" w:hAnsi="微软雅黑" w:cs="Arial" w:hint="eastAsia"/>
          <w:b/>
          <w:sz w:val="36"/>
          <w:szCs w:val="36"/>
        </w:rPr>
        <w:t>，</w:t>
      </w:r>
      <w:r>
        <w:rPr>
          <w:rFonts w:ascii="微软雅黑" w:eastAsia="微软雅黑" w:hAnsi="微软雅黑" w:cs="Arial" w:hint="eastAsia"/>
          <w:b/>
          <w:sz w:val="36"/>
          <w:szCs w:val="36"/>
        </w:rPr>
        <w:t>Development and Operation of Shenzhen Bay Super Headquarters Base</w:t>
      </w:r>
    </w:p>
    <w:p w:rsidR="00F267BB" w:rsidRDefault="00C85F06">
      <w:pPr>
        <w:adjustRightInd w:val="0"/>
        <w:snapToGrid w:val="0"/>
        <w:spacing w:beforeLines="50" w:before="156" w:afterLines="50" w:after="156" w:line="360" w:lineRule="auto"/>
        <w:jc w:val="center"/>
        <w:rPr>
          <w:rFonts w:ascii="微软雅黑" w:eastAsia="微软雅黑" w:hAnsi="微软雅黑"/>
          <w:b/>
          <w:sz w:val="36"/>
          <w:szCs w:val="36"/>
        </w:rPr>
      </w:pPr>
      <w:r>
        <w:rPr>
          <w:rFonts w:ascii="微软雅黑" w:eastAsia="微软雅黑" w:hAnsi="微软雅黑"/>
          <w:b/>
          <w:sz w:val="36"/>
          <w:szCs w:val="36"/>
        </w:rPr>
        <w:t>咨询要求</w:t>
      </w:r>
    </w:p>
    <w:p w:rsidR="00F267BB" w:rsidRDefault="00C85F06">
      <w:pPr>
        <w:adjustRightInd w:val="0"/>
        <w:snapToGrid w:val="0"/>
        <w:spacing w:beforeLines="50" w:before="156" w:afterLines="50" w:after="156" w:line="360" w:lineRule="auto"/>
        <w:jc w:val="center"/>
        <w:rPr>
          <w:rFonts w:ascii="微软雅黑" w:eastAsia="微软雅黑" w:hAnsi="微软雅黑" w:cs="Arial"/>
          <w:b/>
          <w:sz w:val="32"/>
          <w:szCs w:val="32"/>
        </w:rPr>
      </w:pPr>
      <w:r>
        <w:rPr>
          <w:rFonts w:ascii="微软雅黑" w:eastAsia="微软雅黑" w:hAnsi="微软雅黑" w:cs="Arial" w:hint="eastAsia"/>
          <w:b/>
          <w:sz w:val="36"/>
          <w:szCs w:val="36"/>
        </w:rPr>
        <w:t>Consultation Requirements</w:t>
      </w:r>
      <w:bookmarkStart w:id="0" w:name="_Toc195520344"/>
      <w:bookmarkStart w:id="1" w:name="_Toc195317993"/>
      <w:bookmarkStart w:id="2" w:name="_Toc195283090"/>
    </w:p>
    <w:p w:rsidR="00F267BB" w:rsidRDefault="00F267BB">
      <w:pPr>
        <w:adjustRightInd w:val="0"/>
        <w:snapToGrid w:val="0"/>
        <w:spacing w:beforeLines="50" w:before="156" w:afterLines="50" w:after="156" w:line="360" w:lineRule="auto"/>
        <w:jc w:val="center"/>
        <w:rPr>
          <w:rFonts w:ascii="微软雅黑" w:eastAsia="微软雅黑" w:hAnsi="微软雅黑" w:cs="Arial"/>
          <w:b/>
          <w:sz w:val="30"/>
          <w:szCs w:val="30"/>
        </w:rPr>
      </w:pPr>
    </w:p>
    <w:p w:rsidR="00F267BB" w:rsidRDefault="00C85F06">
      <w:pPr>
        <w:adjustRightInd w:val="0"/>
        <w:snapToGrid w:val="0"/>
        <w:spacing w:beforeLines="50" w:before="156" w:afterLines="50" w:after="156" w:line="360" w:lineRule="auto"/>
        <w:jc w:val="center"/>
        <w:rPr>
          <w:rFonts w:ascii="微软雅黑" w:eastAsia="微软雅黑" w:hAnsi="微软雅黑" w:cs="Arial"/>
          <w:b/>
          <w:sz w:val="30"/>
          <w:szCs w:val="30"/>
        </w:rPr>
      </w:pPr>
      <w:r>
        <w:rPr>
          <w:rFonts w:ascii="微软雅黑" w:eastAsia="微软雅黑" w:hAnsi="微软雅黑" w:cs="Arial"/>
          <w:b/>
          <w:sz w:val="30"/>
          <w:szCs w:val="30"/>
        </w:rPr>
        <w:t>深圳湾超级总部基地开发建设指挥部办公室</w:t>
      </w:r>
    </w:p>
    <w:bookmarkEnd w:id="0"/>
    <w:bookmarkEnd w:id="1"/>
    <w:bookmarkEnd w:id="2"/>
    <w:p w:rsidR="00F267BB" w:rsidRDefault="00C85F06">
      <w:pPr>
        <w:adjustRightInd w:val="0"/>
        <w:snapToGrid w:val="0"/>
        <w:spacing w:beforeLines="50" w:before="156" w:afterLines="50" w:after="156" w:line="360" w:lineRule="auto"/>
        <w:jc w:val="center"/>
        <w:rPr>
          <w:rFonts w:ascii="微软雅黑" w:eastAsia="微软雅黑" w:hAnsi="微软雅黑" w:cs="Arial"/>
          <w:b/>
          <w:sz w:val="24"/>
        </w:rPr>
      </w:pPr>
      <w:r>
        <w:rPr>
          <w:rFonts w:ascii="微软雅黑" w:eastAsia="微软雅黑" w:hAnsi="微软雅黑" w:cs="Arial"/>
          <w:b/>
          <w:sz w:val="24"/>
        </w:rPr>
        <w:t>Shenzhen Bay Super Base Construction Headquarters Office</w:t>
      </w:r>
    </w:p>
    <w:p w:rsidR="00F267BB" w:rsidRDefault="00C85F06">
      <w:pPr>
        <w:adjustRightInd w:val="0"/>
        <w:snapToGrid w:val="0"/>
        <w:spacing w:beforeLines="50" w:before="156" w:afterLines="50" w:after="156" w:line="360" w:lineRule="auto"/>
        <w:jc w:val="center"/>
        <w:rPr>
          <w:rFonts w:ascii="微软雅黑" w:eastAsia="微软雅黑" w:hAnsi="微软雅黑" w:cs="Arial"/>
          <w:b/>
          <w:sz w:val="28"/>
          <w:szCs w:val="28"/>
        </w:rPr>
      </w:pPr>
      <w:r>
        <w:rPr>
          <w:rFonts w:ascii="微软雅黑" w:eastAsia="微软雅黑" w:hAnsi="微软雅黑" w:cs="Arial"/>
          <w:b/>
          <w:sz w:val="28"/>
          <w:szCs w:val="28"/>
        </w:rPr>
        <w:t>二〇一</w:t>
      </w:r>
      <w:r>
        <w:rPr>
          <w:rFonts w:ascii="微软雅黑" w:eastAsia="微软雅黑" w:hAnsi="微软雅黑" w:cs="Arial" w:hint="eastAsia"/>
          <w:b/>
          <w:sz w:val="28"/>
          <w:szCs w:val="28"/>
        </w:rPr>
        <w:t>九</w:t>
      </w:r>
      <w:r>
        <w:rPr>
          <w:rFonts w:ascii="微软雅黑" w:eastAsia="微软雅黑" w:hAnsi="微软雅黑" w:cs="Arial"/>
          <w:b/>
          <w:sz w:val="28"/>
          <w:szCs w:val="28"/>
        </w:rPr>
        <w:t>年</w:t>
      </w:r>
      <w:r>
        <w:rPr>
          <w:rFonts w:ascii="微软雅黑" w:eastAsia="微软雅黑" w:hAnsi="微软雅黑" w:cs="Arial" w:hint="eastAsia"/>
          <w:b/>
          <w:sz w:val="28"/>
          <w:szCs w:val="28"/>
        </w:rPr>
        <w:t>六</w:t>
      </w:r>
      <w:r>
        <w:rPr>
          <w:rFonts w:ascii="微软雅黑" w:eastAsia="微软雅黑" w:hAnsi="微软雅黑" w:cs="Arial"/>
          <w:b/>
          <w:sz w:val="28"/>
          <w:szCs w:val="28"/>
        </w:rPr>
        <w:t>月</w:t>
      </w:r>
    </w:p>
    <w:p w:rsidR="00F267BB" w:rsidRDefault="00C85F06">
      <w:pPr>
        <w:adjustRightInd w:val="0"/>
        <w:snapToGrid w:val="0"/>
        <w:spacing w:beforeLines="50" w:before="156" w:afterLines="50" w:after="156" w:line="360" w:lineRule="auto"/>
        <w:jc w:val="center"/>
        <w:rPr>
          <w:rFonts w:ascii="微软雅黑" w:eastAsia="微软雅黑" w:hAnsi="微软雅黑" w:cs="Arial"/>
          <w:b/>
          <w:sz w:val="28"/>
          <w:szCs w:val="28"/>
        </w:rPr>
        <w:sectPr w:rsidR="00F267BB">
          <w:footerReference w:type="even" r:id="rId9"/>
          <w:pgSz w:w="11906" w:h="16838"/>
          <w:pgMar w:top="1440" w:right="1800" w:bottom="1440" w:left="1800" w:header="851" w:footer="992" w:gutter="0"/>
          <w:pgNumType w:start="0"/>
          <w:cols w:space="720"/>
          <w:titlePg/>
          <w:docGrid w:type="lines" w:linePitch="312"/>
        </w:sectPr>
      </w:pPr>
      <w:r>
        <w:rPr>
          <w:rFonts w:ascii="微软雅黑" w:eastAsia="微软雅黑" w:hAnsi="微软雅黑" w:cs="Arial" w:hint="eastAsia"/>
          <w:b/>
          <w:sz w:val="28"/>
          <w:szCs w:val="28"/>
        </w:rPr>
        <w:t>June.2019</w:t>
      </w:r>
    </w:p>
    <w:p w:rsidR="00F267BB" w:rsidRDefault="00C85F06">
      <w:pPr>
        <w:adjustRightInd w:val="0"/>
        <w:snapToGrid w:val="0"/>
        <w:spacing w:beforeLines="50" w:before="156" w:afterLines="50" w:after="156" w:line="360" w:lineRule="auto"/>
        <w:jc w:val="center"/>
        <w:rPr>
          <w:rFonts w:ascii="微软雅黑" w:eastAsia="微软雅黑" w:hAnsi="微软雅黑"/>
          <w:b/>
          <w:sz w:val="36"/>
          <w:szCs w:val="36"/>
        </w:rPr>
      </w:pPr>
      <w:r>
        <w:rPr>
          <w:rFonts w:ascii="微软雅黑" w:eastAsia="微软雅黑" w:hAnsi="微软雅黑"/>
          <w:b/>
          <w:sz w:val="36"/>
          <w:szCs w:val="36"/>
        </w:rPr>
        <w:lastRenderedPageBreak/>
        <w:t>目录</w:t>
      </w:r>
    </w:p>
    <w:p w:rsidR="00F267BB" w:rsidRDefault="00C85F06">
      <w:pPr>
        <w:jc w:val="center"/>
        <w:rPr>
          <w:rFonts w:ascii="微软雅黑" w:eastAsia="微软雅黑" w:hAnsi="微软雅黑"/>
          <w:b/>
          <w:sz w:val="36"/>
          <w:szCs w:val="36"/>
        </w:rPr>
      </w:pPr>
      <w:r>
        <w:rPr>
          <w:rFonts w:ascii="微软雅黑" w:eastAsia="微软雅黑" w:hAnsi="微软雅黑" w:cs="Arial"/>
          <w:b/>
          <w:sz w:val="28"/>
          <w:szCs w:val="28"/>
        </w:rPr>
        <w:t>Table of Contents</w:t>
      </w:r>
    </w:p>
    <w:p w:rsidR="00F267BB" w:rsidRDefault="00F267BB">
      <w:pPr>
        <w:jc w:val="center"/>
        <w:rPr>
          <w:rFonts w:ascii="微软雅黑" w:eastAsia="微软雅黑" w:hAnsi="微软雅黑"/>
        </w:rPr>
      </w:pPr>
    </w:p>
    <w:p w:rsidR="00F267BB" w:rsidRPr="00C2789D" w:rsidRDefault="00C85F06">
      <w:pPr>
        <w:pStyle w:val="10"/>
        <w:tabs>
          <w:tab w:val="clear" w:pos="300"/>
          <w:tab w:val="clear" w:pos="8296"/>
          <w:tab w:val="right" w:leader="dot" w:pos="8306"/>
        </w:tabs>
      </w:pPr>
      <w:r w:rsidRPr="00C2789D">
        <w:rPr>
          <w:rFonts w:ascii="微软雅黑" w:eastAsia="微软雅黑" w:hAnsi="微软雅黑"/>
        </w:rPr>
        <w:fldChar w:fldCharType="begin"/>
      </w:r>
      <w:r w:rsidRPr="00C2789D">
        <w:rPr>
          <w:rFonts w:ascii="微软雅黑" w:eastAsia="微软雅黑" w:hAnsi="微软雅黑"/>
        </w:rPr>
        <w:instrText xml:space="preserve"> TOC \o "1-3" \h \z \u </w:instrText>
      </w:r>
      <w:r w:rsidRPr="00C2789D">
        <w:rPr>
          <w:rFonts w:ascii="微软雅黑" w:eastAsia="微软雅黑" w:hAnsi="微软雅黑"/>
        </w:rPr>
        <w:fldChar w:fldCharType="separate"/>
      </w:r>
      <w:hyperlink w:anchor="_Toc31711" w:history="1">
        <w:r w:rsidRPr="00C2789D">
          <w:rPr>
            <w:rFonts w:ascii="微软雅黑" w:eastAsia="微软雅黑" w:hAnsi="微软雅黑" w:cs="宋体"/>
            <w:szCs w:val="28"/>
          </w:rPr>
          <w:t>一、</w:t>
        </w:r>
        <w:r w:rsidRPr="00C2789D">
          <w:rPr>
            <w:rFonts w:ascii="微软雅黑" w:eastAsia="微软雅黑" w:hAnsi="微软雅黑" w:cs="宋体"/>
            <w:szCs w:val="28"/>
          </w:rPr>
          <w:t xml:space="preserve"> </w:t>
        </w:r>
        <w:r w:rsidRPr="00C2789D">
          <w:rPr>
            <w:rFonts w:ascii="微软雅黑" w:eastAsia="微软雅黑" w:hAnsi="微软雅黑" w:cs="宋体" w:hint="eastAsia"/>
            <w:szCs w:val="28"/>
          </w:rPr>
          <w:t>工作背景</w:t>
        </w:r>
        <w:r w:rsidRPr="00C2789D">
          <w:tab/>
        </w:r>
        <w:r w:rsidRPr="00C2789D">
          <w:fldChar w:fldCharType="begin"/>
        </w:r>
        <w:r w:rsidRPr="00C2789D">
          <w:instrText xml:space="preserve"> PAGEREF _Toc31711 </w:instrText>
        </w:r>
        <w:r w:rsidRPr="00C2789D">
          <w:fldChar w:fldCharType="separate"/>
        </w:r>
        <w:r w:rsidRPr="00C2789D">
          <w:t>1</w:t>
        </w:r>
        <w:r w:rsidRPr="00C2789D">
          <w:fldChar w:fldCharType="end"/>
        </w:r>
      </w:hyperlink>
    </w:p>
    <w:p w:rsidR="00F267BB" w:rsidRPr="00C2789D" w:rsidRDefault="00C85F06">
      <w:pPr>
        <w:pStyle w:val="10"/>
        <w:tabs>
          <w:tab w:val="clear" w:pos="300"/>
          <w:tab w:val="clear" w:pos="8296"/>
          <w:tab w:val="right" w:leader="dot" w:pos="8306"/>
        </w:tabs>
      </w:pPr>
      <w:hyperlink w:anchor="_Toc26351" w:history="1">
        <w:r w:rsidRPr="00C2789D">
          <w:rPr>
            <w:rFonts w:ascii="微软雅黑" w:eastAsia="微软雅黑" w:hAnsi="微软雅黑" w:cs="宋体" w:hint="eastAsia"/>
            <w:szCs w:val="28"/>
          </w:rPr>
          <w:t>Ⅰ</w:t>
        </w:r>
        <w:r w:rsidRPr="00C2789D">
          <w:rPr>
            <w:rFonts w:ascii="微软雅黑" w:eastAsia="微软雅黑" w:hAnsi="微软雅黑" w:cs="宋体" w:hint="eastAsia"/>
            <w:szCs w:val="28"/>
          </w:rPr>
          <w:t xml:space="preserve">. </w:t>
        </w:r>
        <w:r w:rsidRPr="00C2789D">
          <w:rPr>
            <w:rFonts w:ascii="微软雅黑" w:eastAsia="微软雅黑" w:hAnsi="微软雅黑" w:cs="宋体" w:hint="eastAsia"/>
            <w:szCs w:val="28"/>
          </w:rPr>
          <w:t xml:space="preserve">Project </w:t>
        </w:r>
        <w:r w:rsidRPr="00C2789D">
          <w:rPr>
            <w:rFonts w:ascii="微软雅黑" w:eastAsia="微软雅黑" w:hAnsi="微软雅黑" w:cs="宋体" w:hint="eastAsia"/>
            <w:szCs w:val="28"/>
          </w:rPr>
          <w:t>Background</w:t>
        </w:r>
        <w:r w:rsidRPr="00C2789D">
          <w:tab/>
        </w:r>
        <w:r w:rsidRPr="00C2789D">
          <w:fldChar w:fldCharType="begin"/>
        </w:r>
        <w:r w:rsidRPr="00C2789D">
          <w:instrText xml:space="preserve"> PAGEREF _Toc26351 </w:instrText>
        </w:r>
        <w:r w:rsidRPr="00C2789D">
          <w:fldChar w:fldCharType="separate"/>
        </w:r>
        <w:r w:rsidRPr="00C2789D">
          <w:t>1</w:t>
        </w:r>
        <w:r w:rsidRPr="00C2789D">
          <w:fldChar w:fldCharType="end"/>
        </w:r>
      </w:hyperlink>
    </w:p>
    <w:p w:rsidR="00F267BB" w:rsidRPr="00C2789D" w:rsidRDefault="00C85F06">
      <w:pPr>
        <w:pStyle w:val="10"/>
        <w:tabs>
          <w:tab w:val="clear" w:pos="300"/>
          <w:tab w:val="clear" w:pos="8296"/>
          <w:tab w:val="right" w:leader="dot" w:pos="8306"/>
        </w:tabs>
      </w:pPr>
      <w:hyperlink w:anchor="_Toc448" w:history="1">
        <w:r w:rsidRPr="00C2789D">
          <w:rPr>
            <w:rFonts w:ascii="微软雅黑" w:eastAsia="微软雅黑" w:hAnsi="微软雅黑" w:cs="宋体"/>
            <w:szCs w:val="28"/>
          </w:rPr>
          <w:t>二、</w:t>
        </w:r>
        <w:r w:rsidRPr="00C2789D">
          <w:rPr>
            <w:rFonts w:ascii="微软雅黑" w:eastAsia="微软雅黑" w:hAnsi="微软雅黑" w:cs="宋体"/>
            <w:szCs w:val="28"/>
          </w:rPr>
          <w:t xml:space="preserve"> </w:t>
        </w:r>
        <w:r w:rsidRPr="00C2789D">
          <w:rPr>
            <w:rFonts w:ascii="微软雅黑" w:eastAsia="微软雅黑" w:hAnsi="微软雅黑" w:cs="宋体" w:hint="eastAsia"/>
            <w:szCs w:val="28"/>
          </w:rPr>
          <w:t>工作目标</w:t>
        </w:r>
        <w:r w:rsidRPr="00C2789D">
          <w:tab/>
        </w:r>
        <w:r w:rsidRPr="00C2789D">
          <w:fldChar w:fldCharType="begin"/>
        </w:r>
        <w:r w:rsidRPr="00C2789D">
          <w:instrText xml:space="preserve"> PAGEREF _Toc448 </w:instrText>
        </w:r>
        <w:r w:rsidRPr="00C2789D">
          <w:fldChar w:fldCharType="separate"/>
        </w:r>
        <w:r w:rsidRPr="00C2789D">
          <w:t>10</w:t>
        </w:r>
        <w:r w:rsidRPr="00C2789D">
          <w:fldChar w:fldCharType="end"/>
        </w:r>
      </w:hyperlink>
    </w:p>
    <w:p w:rsidR="00F267BB" w:rsidRPr="00C2789D" w:rsidRDefault="00C85F06">
      <w:pPr>
        <w:pStyle w:val="10"/>
        <w:tabs>
          <w:tab w:val="clear" w:pos="300"/>
          <w:tab w:val="clear" w:pos="8296"/>
          <w:tab w:val="right" w:leader="dot" w:pos="8306"/>
        </w:tabs>
      </w:pPr>
      <w:hyperlink w:anchor="_Toc30999" w:history="1">
        <w:r w:rsidRPr="00C2789D">
          <w:rPr>
            <w:rFonts w:ascii="微软雅黑" w:eastAsia="微软雅黑" w:hAnsi="微软雅黑" w:cs="宋体" w:hint="eastAsia"/>
            <w:szCs w:val="28"/>
          </w:rPr>
          <w:t>Ⅱ</w:t>
        </w:r>
        <w:r w:rsidRPr="00C2789D">
          <w:rPr>
            <w:rFonts w:ascii="微软雅黑" w:eastAsia="微软雅黑" w:hAnsi="微软雅黑" w:cs="宋体" w:hint="eastAsia"/>
            <w:szCs w:val="28"/>
          </w:rPr>
          <w:t xml:space="preserve">. </w:t>
        </w:r>
        <w:r w:rsidRPr="00C2789D">
          <w:rPr>
            <w:rFonts w:ascii="微软雅黑" w:eastAsia="微软雅黑" w:hAnsi="微软雅黑" w:cs="宋体" w:hint="eastAsia"/>
            <w:szCs w:val="28"/>
          </w:rPr>
          <w:t>Work Objectives</w:t>
        </w:r>
        <w:r w:rsidRPr="00C2789D">
          <w:tab/>
        </w:r>
        <w:r w:rsidRPr="00C2789D">
          <w:fldChar w:fldCharType="begin"/>
        </w:r>
        <w:r w:rsidRPr="00C2789D">
          <w:instrText xml:space="preserve"> PAGEREF _Toc30999 </w:instrText>
        </w:r>
        <w:r w:rsidRPr="00C2789D">
          <w:fldChar w:fldCharType="separate"/>
        </w:r>
        <w:r w:rsidRPr="00C2789D">
          <w:t>10</w:t>
        </w:r>
        <w:r w:rsidRPr="00C2789D">
          <w:fldChar w:fldCharType="end"/>
        </w:r>
      </w:hyperlink>
    </w:p>
    <w:p w:rsidR="00F267BB" w:rsidRPr="00C2789D" w:rsidRDefault="00C85F06">
      <w:pPr>
        <w:pStyle w:val="10"/>
        <w:tabs>
          <w:tab w:val="clear" w:pos="300"/>
          <w:tab w:val="clear" w:pos="8296"/>
          <w:tab w:val="right" w:leader="dot" w:pos="8306"/>
        </w:tabs>
      </w:pPr>
      <w:hyperlink w:anchor="_Toc31643" w:history="1">
        <w:r w:rsidRPr="00C2789D">
          <w:rPr>
            <w:rFonts w:ascii="微软雅黑" w:eastAsia="微软雅黑" w:hAnsi="微软雅黑" w:cs="宋体"/>
            <w:szCs w:val="28"/>
          </w:rPr>
          <w:t>三、</w:t>
        </w:r>
        <w:r w:rsidRPr="00C2789D">
          <w:rPr>
            <w:rFonts w:ascii="微软雅黑" w:eastAsia="微软雅黑" w:hAnsi="微软雅黑" w:cs="宋体"/>
            <w:szCs w:val="28"/>
          </w:rPr>
          <w:t xml:space="preserve"> </w:t>
        </w:r>
        <w:r w:rsidRPr="00C2789D">
          <w:rPr>
            <w:rFonts w:ascii="微软雅黑" w:eastAsia="微软雅黑" w:hAnsi="微软雅黑" w:cs="宋体" w:hint="eastAsia"/>
            <w:szCs w:val="28"/>
          </w:rPr>
          <w:t>工作范围</w:t>
        </w:r>
        <w:r w:rsidRPr="00C2789D">
          <w:tab/>
        </w:r>
        <w:r w:rsidRPr="00C2789D">
          <w:fldChar w:fldCharType="begin"/>
        </w:r>
        <w:r w:rsidRPr="00C2789D">
          <w:instrText xml:space="preserve"> PAGEREF _Toc31643 </w:instrText>
        </w:r>
        <w:r w:rsidRPr="00C2789D">
          <w:fldChar w:fldCharType="separate"/>
        </w:r>
        <w:r w:rsidRPr="00C2789D">
          <w:t>11</w:t>
        </w:r>
        <w:r w:rsidRPr="00C2789D">
          <w:fldChar w:fldCharType="end"/>
        </w:r>
      </w:hyperlink>
    </w:p>
    <w:p w:rsidR="00F267BB" w:rsidRPr="00C2789D" w:rsidRDefault="00C85F06">
      <w:pPr>
        <w:pStyle w:val="10"/>
        <w:tabs>
          <w:tab w:val="clear" w:pos="300"/>
          <w:tab w:val="clear" w:pos="8296"/>
          <w:tab w:val="right" w:leader="dot" w:pos="8306"/>
        </w:tabs>
      </w:pPr>
      <w:hyperlink w:anchor="_Toc6440" w:history="1">
        <w:r w:rsidRPr="00C2789D">
          <w:rPr>
            <w:rFonts w:ascii="微软雅黑" w:eastAsia="微软雅黑" w:hAnsi="微软雅黑" w:cs="宋体" w:hint="eastAsia"/>
            <w:szCs w:val="28"/>
          </w:rPr>
          <w:t>Ⅲ</w:t>
        </w:r>
        <w:r w:rsidRPr="00C2789D">
          <w:rPr>
            <w:rFonts w:ascii="微软雅黑" w:eastAsia="微软雅黑" w:hAnsi="微软雅黑" w:cs="宋体" w:hint="eastAsia"/>
            <w:szCs w:val="28"/>
          </w:rPr>
          <w:t xml:space="preserve">. </w:t>
        </w:r>
        <w:r w:rsidRPr="00C2789D">
          <w:rPr>
            <w:rFonts w:ascii="微软雅黑" w:eastAsia="微软雅黑" w:hAnsi="微软雅黑" w:cs="宋体" w:hint="eastAsia"/>
            <w:szCs w:val="28"/>
          </w:rPr>
          <w:t>Work Scope</w:t>
        </w:r>
        <w:r w:rsidRPr="00C2789D">
          <w:tab/>
        </w:r>
        <w:r w:rsidRPr="00C2789D">
          <w:fldChar w:fldCharType="begin"/>
        </w:r>
        <w:r w:rsidRPr="00C2789D">
          <w:instrText xml:space="preserve"> PAGEREF _Toc6440 </w:instrText>
        </w:r>
        <w:r w:rsidRPr="00C2789D">
          <w:fldChar w:fldCharType="separate"/>
        </w:r>
        <w:r w:rsidRPr="00C2789D">
          <w:t>11</w:t>
        </w:r>
        <w:r w:rsidRPr="00C2789D">
          <w:fldChar w:fldCharType="end"/>
        </w:r>
      </w:hyperlink>
    </w:p>
    <w:p w:rsidR="00F267BB" w:rsidRPr="00C2789D" w:rsidRDefault="00C85F06">
      <w:pPr>
        <w:pStyle w:val="10"/>
        <w:tabs>
          <w:tab w:val="clear" w:pos="300"/>
          <w:tab w:val="clear" w:pos="8296"/>
          <w:tab w:val="right" w:leader="dot" w:pos="8306"/>
        </w:tabs>
      </w:pPr>
      <w:hyperlink w:anchor="_Toc29991" w:history="1">
        <w:r w:rsidRPr="00C2789D">
          <w:rPr>
            <w:rFonts w:ascii="微软雅黑" w:eastAsia="微软雅黑" w:hAnsi="微软雅黑" w:cs="宋体"/>
            <w:szCs w:val="28"/>
          </w:rPr>
          <w:t>四、</w:t>
        </w:r>
        <w:r w:rsidRPr="00C2789D">
          <w:rPr>
            <w:rFonts w:ascii="微软雅黑" w:eastAsia="微软雅黑" w:hAnsi="微软雅黑" w:cs="宋体"/>
            <w:szCs w:val="28"/>
          </w:rPr>
          <w:t xml:space="preserve"> </w:t>
        </w:r>
        <w:r w:rsidRPr="00C2789D">
          <w:rPr>
            <w:rFonts w:ascii="微软雅黑" w:eastAsia="微软雅黑" w:hAnsi="微软雅黑" w:cs="宋体" w:hint="eastAsia"/>
            <w:szCs w:val="28"/>
          </w:rPr>
          <w:t>工作内容</w:t>
        </w:r>
        <w:r w:rsidRPr="00C2789D">
          <w:tab/>
        </w:r>
        <w:r w:rsidRPr="00C2789D">
          <w:fldChar w:fldCharType="begin"/>
        </w:r>
        <w:r w:rsidRPr="00C2789D">
          <w:instrText xml:space="preserve"> PAGEREF _Toc29991 </w:instrText>
        </w:r>
        <w:r w:rsidRPr="00C2789D">
          <w:fldChar w:fldCharType="separate"/>
        </w:r>
        <w:r w:rsidRPr="00C2789D">
          <w:t>11</w:t>
        </w:r>
        <w:r w:rsidRPr="00C2789D">
          <w:fldChar w:fldCharType="end"/>
        </w:r>
      </w:hyperlink>
    </w:p>
    <w:p w:rsidR="00F267BB" w:rsidRPr="00C2789D" w:rsidRDefault="00C85F06">
      <w:pPr>
        <w:pStyle w:val="10"/>
        <w:tabs>
          <w:tab w:val="clear" w:pos="300"/>
          <w:tab w:val="clear" w:pos="8296"/>
          <w:tab w:val="right" w:leader="dot" w:pos="8306"/>
        </w:tabs>
      </w:pPr>
      <w:hyperlink w:anchor="_Toc5989" w:history="1">
        <w:r w:rsidRPr="00C2789D">
          <w:rPr>
            <w:rFonts w:ascii="微软雅黑" w:eastAsia="微软雅黑" w:hAnsi="微软雅黑" w:cs="宋体" w:hint="eastAsia"/>
            <w:szCs w:val="28"/>
          </w:rPr>
          <w:t>Ⅳ</w:t>
        </w:r>
        <w:r w:rsidRPr="00C2789D">
          <w:rPr>
            <w:rFonts w:ascii="微软雅黑" w:eastAsia="微软雅黑" w:hAnsi="微软雅黑" w:cs="宋体" w:hint="eastAsia"/>
            <w:szCs w:val="28"/>
          </w:rPr>
          <w:t xml:space="preserve">. </w:t>
        </w:r>
        <w:r w:rsidRPr="00C2789D">
          <w:rPr>
            <w:rFonts w:ascii="微软雅黑" w:eastAsia="微软雅黑" w:hAnsi="微软雅黑" w:cs="宋体" w:hint="eastAsia"/>
            <w:szCs w:val="28"/>
          </w:rPr>
          <w:t>Work Contents</w:t>
        </w:r>
        <w:r w:rsidRPr="00C2789D">
          <w:tab/>
        </w:r>
        <w:r w:rsidRPr="00C2789D">
          <w:fldChar w:fldCharType="begin"/>
        </w:r>
        <w:r w:rsidRPr="00C2789D">
          <w:instrText xml:space="preserve"> PAGEREF _Toc5989 </w:instrText>
        </w:r>
        <w:r w:rsidRPr="00C2789D">
          <w:fldChar w:fldCharType="separate"/>
        </w:r>
        <w:r w:rsidRPr="00C2789D">
          <w:t>11</w:t>
        </w:r>
        <w:r w:rsidRPr="00C2789D">
          <w:fldChar w:fldCharType="end"/>
        </w:r>
      </w:hyperlink>
    </w:p>
    <w:p w:rsidR="00F267BB" w:rsidRPr="00C2789D" w:rsidRDefault="00C85F06">
      <w:pPr>
        <w:pStyle w:val="10"/>
        <w:tabs>
          <w:tab w:val="clear" w:pos="300"/>
          <w:tab w:val="clear" w:pos="8296"/>
          <w:tab w:val="right" w:leader="dot" w:pos="8306"/>
        </w:tabs>
      </w:pPr>
      <w:hyperlink w:anchor="_Toc17197" w:history="1">
        <w:r w:rsidRPr="00C2789D">
          <w:rPr>
            <w:rFonts w:ascii="微软雅黑" w:eastAsia="微软雅黑" w:hAnsi="微软雅黑" w:cs="宋体"/>
            <w:szCs w:val="28"/>
          </w:rPr>
          <w:t>五、</w:t>
        </w:r>
        <w:r w:rsidRPr="00C2789D">
          <w:rPr>
            <w:rFonts w:ascii="微软雅黑" w:eastAsia="微软雅黑" w:hAnsi="微软雅黑" w:cs="宋体"/>
            <w:szCs w:val="28"/>
          </w:rPr>
          <w:t xml:space="preserve"> </w:t>
        </w:r>
        <w:r w:rsidRPr="00C2789D">
          <w:rPr>
            <w:rFonts w:ascii="微软雅黑" w:eastAsia="微软雅黑" w:hAnsi="微软雅黑" w:cs="宋体" w:hint="eastAsia"/>
            <w:szCs w:val="28"/>
          </w:rPr>
          <w:t>成果构成</w:t>
        </w:r>
        <w:r w:rsidRPr="00C2789D">
          <w:tab/>
        </w:r>
        <w:r w:rsidRPr="00C2789D">
          <w:fldChar w:fldCharType="begin"/>
        </w:r>
        <w:r w:rsidRPr="00C2789D">
          <w:instrText xml:space="preserve"> PAGEREF _Toc17197 </w:instrText>
        </w:r>
        <w:r w:rsidRPr="00C2789D">
          <w:fldChar w:fldCharType="separate"/>
        </w:r>
        <w:r w:rsidRPr="00C2789D">
          <w:t>19</w:t>
        </w:r>
        <w:r w:rsidRPr="00C2789D">
          <w:fldChar w:fldCharType="end"/>
        </w:r>
      </w:hyperlink>
    </w:p>
    <w:p w:rsidR="00F267BB" w:rsidRPr="00C2789D" w:rsidRDefault="00C85F06">
      <w:pPr>
        <w:pStyle w:val="10"/>
        <w:tabs>
          <w:tab w:val="clear" w:pos="300"/>
          <w:tab w:val="clear" w:pos="8296"/>
          <w:tab w:val="right" w:leader="dot" w:pos="8306"/>
        </w:tabs>
      </w:pPr>
      <w:hyperlink w:anchor="_Toc6217" w:history="1">
        <w:r w:rsidRPr="00C2789D">
          <w:rPr>
            <w:rFonts w:ascii="微软雅黑" w:eastAsia="微软雅黑" w:hAnsi="微软雅黑" w:cs="宋体" w:hint="eastAsia"/>
            <w:szCs w:val="28"/>
          </w:rPr>
          <w:t>Ⅴ</w:t>
        </w:r>
        <w:r w:rsidRPr="00C2789D">
          <w:rPr>
            <w:rFonts w:ascii="微软雅黑" w:eastAsia="微软雅黑" w:hAnsi="微软雅黑" w:cs="宋体" w:hint="eastAsia"/>
            <w:szCs w:val="28"/>
          </w:rPr>
          <w:t xml:space="preserve">. </w:t>
        </w:r>
        <w:r w:rsidRPr="00C2789D">
          <w:rPr>
            <w:rFonts w:ascii="微软雅黑" w:eastAsia="微软雅黑" w:hAnsi="微软雅黑" w:cs="宋体" w:hint="eastAsia"/>
            <w:szCs w:val="28"/>
          </w:rPr>
          <w:t>Project Submissions</w:t>
        </w:r>
        <w:r w:rsidRPr="00C2789D">
          <w:tab/>
        </w:r>
        <w:r w:rsidRPr="00C2789D">
          <w:fldChar w:fldCharType="begin"/>
        </w:r>
        <w:r w:rsidRPr="00C2789D">
          <w:instrText xml:space="preserve"> PAGEREF _Toc6217 </w:instrText>
        </w:r>
        <w:r w:rsidRPr="00C2789D">
          <w:fldChar w:fldCharType="separate"/>
        </w:r>
        <w:r w:rsidRPr="00C2789D">
          <w:t>20</w:t>
        </w:r>
        <w:r w:rsidRPr="00C2789D">
          <w:fldChar w:fldCharType="end"/>
        </w:r>
      </w:hyperlink>
    </w:p>
    <w:p w:rsidR="00F267BB" w:rsidRDefault="00C85F06">
      <w:pPr>
        <w:rPr>
          <w:rFonts w:ascii="微软雅黑" w:eastAsia="微软雅黑" w:hAnsi="微软雅黑"/>
        </w:rPr>
      </w:pPr>
      <w:r w:rsidRPr="00C2789D">
        <w:rPr>
          <w:rFonts w:ascii="微软雅黑" w:eastAsia="微软雅黑" w:hAnsi="微软雅黑"/>
        </w:rPr>
        <w:fldChar w:fldCharType="end"/>
      </w:r>
    </w:p>
    <w:p w:rsidR="00F267BB" w:rsidRDefault="00F267BB">
      <w:pPr>
        <w:adjustRightInd w:val="0"/>
        <w:snapToGrid w:val="0"/>
        <w:spacing w:beforeLines="50" w:before="156" w:afterLines="50" w:after="156" w:line="360" w:lineRule="auto"/>
        <w:rPr>
          <w:rFonts w:ascii="微软雅黑" w:eastAsia="微软雅黑" w:hAnsi="微软雅黑"/>
        </w:rPr>
      </w:pPr>
    </w:p>
    <w:p w:rsidR="00F267BB" w:rsidRDefault="00F267BB">
      <w:pPr>
        <w:pStyle w:val="af1"/>
        <w:numPr>
          <w:ilvl w:val="0"/>
          <w:numId w:val="2"/>
        </w:numPr>
        <w:spacing w:afterLines="50" w:after="156" w:line="560" w:lineRule="exact"/>
        <w:ind w:left="0" w:firstLineChars="177" w:firstLine="496"/>
        <w:outlineLvl w:val="0"/>
        <w:rPr>
          <w:rFonts w:ascii="微软雅黑" w:eastAsia="微软雅黑" w:hAnsi="微软雅黑" w:cs="宋体"/>
          <w:b/>
          <w:sz w:val="28"/>
          <w:szCs w:val="28"/>
        </w:rPr>
        <w:sectPr w:rsidR="00F267BB">
          <w:footerReference w:type="default" r:id="rId10"/>
          <w:footerReference w:type="first" r:id="rId11"/>
          <w:pgSz w:w="11906" w:h="16838"/>
          <w:pgMar w:top="1440" w:right="1800" w:bottom="1440" w:left="1800" w:header="851" w:footer="992" w:gutter="0"/>
          <w:pgNumType w:start="0"/>
          <w:cols w:space="720"/>
          <w:titlePg/>
          <w:docGrid w:type="lines" w:linePitch="312"/>
        </w:sectPr>
      </w:pPr>
      <w:bookmarkStart w:id="3" w:name="_Toc27794_WPSOffice_Level1"/>
      <w:bookmarkStart w:id="4" w:name="_Toc3393_WPSOffice_Level1"/>
      <w:bookmarkStart w:id="5" w:name="_Toc11477"/>
      <w:bookmarkStart w:id="6" w:name="_Toc522897170"/>
      <w:bookmarkStart w:id="7" w:name="_Toc522282165"/>
      <w:bookmarkStart w:id="8" w:name="_Toc485895348"/>
      <w:bookmarkStart w:id="9" w:name="_Toc501285976"/>
      <w:bookmarkStart w:id="10" w:name="_Toc523941769"/>
      <w:bookmarkStart w:id="11" w:name="_Toc508008372"/>
    </w:p>
    <w:p w:rsidR="00F267BB" w:rsidRDefault="00C85F06">
      <w:pPr>
        <w:pStyle w:val="af1"/>
        <w:numPr>
          <w:ilvl w:val="0"/>
          <w:numId w:val="2"/>
        </w:numPr>
        <w:spacing w:afterLines="50" w:after="156" w:line="560" w:lineRule="exact"/>
        <w:ind w:left="0" w:firstLineChars="177" w:firstLine="496"/>
        <w:outlineLvl w:val="0"/>
        <w:rPr>
          <w:rFonts w:ascii="微软雅黑" w:eastAsia="微软雅黑" w:hAnsi="微软雅黑" w:cs="宋体"/>
          <w:b/>
          <w:sz w:val="28"/>
          <w:szCs w:val="28"/>
        </w:rPr>
      </w:pPr>
      <w:bookmarkStart w:id="12" w:name="_Toc31711"/>
      <w:r>
        <w:rPr>
          <w:rFonts w:ascii="微软雅黑" w:eastAsia="微软雅黑" w:hAnsi="微软雅黑" w:cs="宋体" w:hint="eastAsia"/>
          <w:b/>
          <w:sz w:val="28"/>
          <w:szCs w:val="28"/>
        </w:rPr>
        <w:lastRenderedPageBreak/>
        <w:t>工作背景</w:t>
      </w:r>
      <w:bookmarkEnd w:id="3"/>
      <w:bookmarkEnd w:id="12"/>
    </w:p>
    <w:p w:rsidR="00F267BB" w:rsidRDefault="00C85F06">
      <w:pPr>
        <w:pStyle w:val="af1"/>
        <w:spacing w:afterLines="50" w:after="156" w:line="560" w:lineRule="exact"/>
        <w:ind w:left="420" w:firstLineChars="0" w:firstLine="0"/>
        <w:outlineLvl w:val="0"/>
        <w:rPr>
          <w:rFonts w:ascii="微软雅黑" w:eastAsia="微软雅黑" w:hAnsi="微软雅黑" w:cs="宋体"/>
          <w:b/>
          <w:sz w:val="28"/>
          <w:szCs w:val="28"/>
        </w:rPr>
      </w:pPr>
      <w:bookmarkStart w:id="13" w:name="_Toc26351"/>
      <w:r>
        <w:rPr>
          <w:rFonts w:ascii="微软雅黑" w:eastAsia="微软雅黑" w:hAnsi="微软雅黑" w:cs="宋体" w:hint="eastAsia"/>
          <w:b/>
          <w:sz w:val="28"/>
          <w:szCs w:val="28"/>
        </w:rPr>
        <w:t>Ⅰ</w:t>
      </w:r>
      <w:r>
        <w:rPr>
          <w:rFonts w:ascii="微软雅黑" w:eastAsia="微软雅黑" w:hAnsi="微软雅黑" w:cs="宋体" w:hint="eastAsia"/>
          <w:b/>
          <w:sz w:val="28"/>
          <w:szCs w:val="28"/>
        </w:rPr>
        <w:t xml:space="preserve">. </w:t>
      </w:r>
      <w:r>
        <w:rPr>
          <w:rFonts w:ascii="微软雅黑" w:eastAsia="微软雅黑" w:hAnsi="微软雅黑" w:cs="宋体" w:hint="eastAsia"/>
          <w:b/>
          <w:sz w:val="28"/>
          <w:szCs w:val="28"/>
        </w:rPr>
        <w:t>Project Background</w:t>
      </w:r>
      <w:bookmarkEnd w:id="13"/>
    </w:p>
    <w:p w:rsidR="00F267BB" w:rsidRDefault="00C85F06">
      <w:pPr>
        <w:pStyle w:val="af1"/>
        <w:tabs>
          <w:tab w:val="left" w:pos="1050"/>
        </w:tabs>
        <w:spacing w:afterLines="50" w:after="156" w:line="560" w:lineRule="exact"/>
        <w:ind w:left="420" w:firstLineChars="0" w:firstLine="0"/>
        <w:outlineLvl w:val="0"/>
        <w:rPr>
          <w:rFonts w:ascii="微软雅黑" w:eastAsia="微软雅黑" w:hAnsi="微软雅黑" w:cs="宋体"/>
          <w:b/>
          <w:sz w:val="24"/>
        </w:rPr>
      </w:pPr>
      <w:bookmarkStart w:id="14" w:name="_Toc1272"/>
      <w:r>
        <w:rPr>
          <w:rFonts w:ascii="微软雅黑" w:eastAsia="微软雅黑" w:hAnsi="微软雅黑" w:cs="宋体" w:hint="eastAsia"/>
          <w:b/>
          <w:sz w:val="24"/>
        </w:rPr>
        <w:t>（</w:t>
      </w:r>
      <w:r>
        <w:rPr>
          <w:rFonts w:ascii="微软雅黑" w:eastAsia="微软雅黑" w:hAnsi="微软雅黑" w:cs="宋体" w:hint="eastAsia"/>
          <w:b/>
          <w:sz w:val="24"/>
        </w:rPr>
        <w:t>1</w:t>
      </w:r>
      <w:r>
        <w:rPr>
          <w:rFonts w:ascii="微软雅黑" w:eastAsia="微软雅黑" w:hAnsi="微软雅黑" w:cs="宋体" w:hint="eastAsia"/>
          <w:b/>
          <w:sz w:val="24"/>
        </w:rPr>
        <w:t>）</w:t>
      </w:r>
      <w:r>
        <w:rPr>
          <w:rFonts w:ascii="微软雅黑" w:eastAsia="微软雅黑" w:hAnsi="微软雅黑" w:cs="宋体" w:hint="eastAsia"/>
          <w:b/>
          <w:sz w:val="24"/>
        </w:rPr>
        <w:t>项目概况</w:t>
      </w:r>
      <w:bookmarkEnd w:id="14"/>
    </w:p>
    <w:p w:rsidR="00F267BB" w:rsidRDefault="00C85F06">
      <w:pPr>
        <w:pStyle w:val="af1"/>
        <w:spacing w:afterLines="50" w:after="156" w:line="560" w:lineRule="exact"/>
        <w:ind w:left="420" w:firstLineChars="0" w:firstLine="0"/>
        <w:outlineLvl w:val="0"/>
        <w:rPr>
          <w:rFonts w:ascii="微软雅黑" w:eastAsia="微软雅黑" w:hAnsi="微软雅黑" w:cs="宋体"/>
          <w:b/>
          <w:sz w:val="22"/>
          <w:szCs w:val="22"/>
        </w:rPr>
      </w:pPr>
      <w:bookmarkStart w:id="15" w:name="_Toc19939"/>
      <w:r>
        <w:rPr>
          <w:rFonts w:ascii="微软雅黑" w:eastAsia="微软雅黑" w:hAnsi="微软雅黑" w:cs="宋体" w:hint="eastAsia"/>
          <w:b/>
          <w:sz w:val="22"/>
          <w:szCs w:val="22"/>
        </w:rPr>
        <w:t>（</w:t>
      </w:r>
      <w:r>
        <w:rPr>
          <w:rFonts w:ascii="微软雅黑" w:eastAsia="微软雅黑" w:hAnsi="微软雅黑" w:cs="宋体" w:hint="eastAsia"/>
          <w:b/>
          <w:sz w:val="22"/>
          <w:szCs w:val="22"/>
        </w:rPr>
        <w:t>1</w:t>
      </w:r>
      <w:r>
        <w:rPr>
          <w:rFonts w:ascii="微软雅黑" w:eastAsia="微软雅黑" w:hAnsi="微软雅黑" w:cs="宋体" w:hint="eastAsia"/>
          <w:b/>
          <w:sz w:val="22"/>
          <w:szCs w:val="22"/>
        </w:rPr>
        <w:t>）</w:t>
      </w:r>
      <w:r>
        <w:rPr>
          <w:rFonts w:ascii="微软雅黑" w:eastAsia="微软雅黑" w:hAnsi="微软雅黑" w:cs="宋体" w:hint="eastAsia"/>
          <w:b/>
          <w:sz w:val="22"/>
          <w:szCs w:val="22"/>
        </w:rPr>
        <w:t>Project Introduction</w:t>
      </w:r>
      <w:bookmarkEnd w:id="15"/>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深圳湾超级总部基地位于深圳市华侨城南部滨海地区，是塘朗山</w:t>
      </w:r>
      <w:r>
        <w:rPr>
          <w:rFonts w:ascii="微软雅黑" w:eastAsia="微软雅黑" w:hAnsi="微软雅黑" w:cs="宋体" w:hint="eastAsia"/>
          <w:sz w:val="24"/>
        </w:rPr>
        <w:t>-</w:t>
      </w:r>
      <w:r>
        <w:rPr>
          <w:rFonts w:ascii="微软雅黑" w:eastAsia="微软雅黑" w:hAnsi="微软雅黑" w:cs="宋体" w:hint="eastAsia"/>
          <w:sz w:val="24"/>
        </w:rPr>
        <w:t>华侨城</w:t>
      </w:r>
      <w:r>
        <w:rPr>
          <w:rFonts w:ascii="微软雅黑" w:eastAsia="微软雅黑" w:hAnsi="微软雅黑" w:cs="宋体" w:hint="eastAsia"/>
          <w:sz w:val="24"/>
        </w:rPr>
        <w:t>-</w:t>
      </w:r>
      <w:r>
        <w:rPr>
          <w:rFonts w:ascii="微软雅黑" w:eastAsia="微软雅黑" w:hAnsi="微软雅黑" w:cs="宋体" w:hint="eastAsia"/>
          <w:sz w:val="24"/>
        </w:rPr>
        <w:t>深圳湾城市功能空间轴的核心区段之一。该片区南接深圳湾，与香港隔海相望，北倚华侨城内湖湿地，西邻沙河高尔夫球场，东至华侨城欢乐海岸；城市轨道</w:t>
      </w:r>
      <w:r>
        <w:rPr>
          <w:rFonts w:ascii="微软雅黑" w:eastAsia="微软雅黑" w:hAnsi="微软雅黑" w:cs="宋体" w:hint="eastAsia"/>
          <w:sz w:val="24"/>
        </w:rPr>
        <w:t>2</w:t>
      </w:r>
      <w:r>
        <w:rPr>
          <w:rFonts w:ascii="微软雅黑" w:eastAsia="微软雅黑" w:hAnsi="微软雅黑" w:cs="宋体" w:hint="eastAsia"/>
          <w:sz w:val="24"/>
        </w:rPr>
        <w:t>号线、</w:t>
      </w:r>
      <w:r>
        <w:rPr>
          <w:rFonts w:ascii="微软雅黑" w:eastAsia="微软雅黑" w:hAnsi="微软雅黑" w:cs="宋体" w:hint="eastAsia"/>
          <w:sz w:val="24"/>
        </w:rPr>
        <w:t>9</w:t>
      </w:r>
      <w:r>
        <w:rPr>
          <w:rFonts w:ascii="微软雅黑" w:eastAsia="微软雅黑" w:hAnsi="微软雅黑" w:cs="宋体" w:hint="eastAsia"/>
          <w:sz w:val="24"/>
        </w:rPr>
        <w:t>号线、</w:t>
      </w:r>
      <w:r>
        <w:rPr>
          <w:rFonts w:ascii="微软雅黑" w:eastAsia="微软雅黑" w:hAnsi="微软雅黑" w:cs="宋体" w:hint="eastAsia"/>
          <w:sz w:val="24"/>
        </w:rPr>
        <w:t>11</w:t>
      </w:r>
      <w:r>
        <w:rPr>
          <w:rFonts w:ascii="微软雅黑" w:eastAsia="微软雅黑" w:hAnsi="微软雅黑" w:cs="宋体" w:hint="eastAsia"/>
          <w:sz w:val="24"/>
        </w:rPr>
        <w:t>号线（机场快线）等在该片区交汇，使该片区成为环深圳湾地区自然景观条件得天独厚、城市门户形象突出、未来城市综合开发价值极高的区域。</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Located in the southern coastal area of Shenzhen OCT, Shenzhen Bay Super Headqu</w:t>
      </w:r>
      <w:r>
        <w:rPr>
          <w:rFonts w:ascii="微软雅黑" w:eastAsia="微软雅黑" w:hAnsi="微软雅黑" w:cs="宋体" w:hint="eastAsia"/>
          <w:sz w:val="22"/>
          <w:szCs w:val="22"/>
        </w:rPr>
        <w:t>arters Base is a core segment of the Tanglang Mountain- OCT- Shenzhen Bay urban functional space axis. It adjoins Shenzhen Bay on the south, overlooking Hong Kong across the sea, with the inner lake wetland of OCT on the north, Sand River golf course on th</w:t>
      </w:r>
      <w:r>
        <w:rPr>
          <w:rFonts w:ascii="微软雅黑" w:eastAsia="微软雅黑" w:hAnsi="微软雅黑" w:cs="宋体" w:hint="eastAsia"/>
          <w:sz w:val="22"/>
          <w:szCs w:val="22"/>
        </w:rPr>
        <w:t>e west, and OCT Harbor on the east. Urban subway Line 2, 9 and 11 (airport express line) intersect here, making this a high value of integrated urban development area in the future with unique natural landscape resources and prominent urban gateway.</w:t>
      </w:r>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为实现构建粤</w:t>
      </w:r>
      <w:r>
        <w:rPr>
          <w:rFonts w:ascii="微软雅黑" w:eastAsia="微软雅黑" w:hAnsi="微软雅黑" w:cs="宋体" w:hint="eastAsia"/>
          <w:sz w:val="24"/>
        </w:rPr>
        <w:t>港澳大湾区世界级城市群巅峰之地的发展目标，按照市委市政府对该片区高品质、高标准开展规划、设计、建设和管理的要求，建立统筹协调、形成合力、强力推进的规建管一体化体制机制，加强指挥决策领导管理，深圳市</w:t>
      </w:r>
      <w:r>
        <w:rPr>
          <w:rFonts w:ascii="微软雅黑" w:eastAsia="微软雅黑" w:hAnsi="微软雅黑" w:cs="宋体" w:hint="eastAsia"/>
          <w:sz w:val="24"/>
        </w:rPr>
        <w:lastRenderedPageBreak/>
        <w:t>政府特此成立了深圳湾超级总部基地开发建设指挥部（以下简称“深超总指挥部”）作为统筹协调单位，设立深圳湾超级总部基地开发建设指挥部办公室（以下简称“深超总办公室”）处理具体日常事务</w:t>
      </w:r>
      <w:r>
        <w:rPr>
          <w:rFonts w:ascii="微软雅黑" w:eastAsia="微软雅黑" w:hAnsi="微软雅黑" w:cs="宋体" w:hint="eastAsia"/>
          <w:sz w:val="24"/>
        </w:rPr>
        <w:t>,</w:t>
      </w:r>
      <w:r>
        <w:rPr>
          <w:rFonts w:ascii="微软雅黑" w:eastAsia="微软雅黑" w:hAnsi="微软雅黑" w:cs="宋体" w:hint="eastAsia"/>
          <w:sz w:val="24"/>
        </w:rPr>
        <w:t>并确定深圳市投资控股有限公司（以下简称“市投控公司”）作为深圳湾超级总部基地片区的统筹开发运营实施主体。</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With a vision t</w:t>
      </w:r>
      <w:r>
        <w:rPr>
          <w:rFonts w:ascii="微软雅黑" w:eastAsia="微软雅黑" w:hAnsi="微软雅黑" w:cs="宋体" w:hint="eastAsia"/>
          <w:sz w:val="22"/>
          <w:szCs w:val="22"/>
        </w:rPr>
        <w:t>o create a pinnacle of world-class urban cluster in Guangdong-Hong Kong-Macao Greater Bay Area, in accordance with the requirements from Shenzhen Municipal Party Committee and the Municipal Government for high-quality, high-standard planning, design, const</w:t>
      </w:r>
      <w:r>
        <w:rPr>
          <w:rFonts w:ascii="微软雅黑" w:eastAsia="微软雅黑" w:hAnsi="微软雅黑" w:cs="宋体" w:hint="eastAsia"/>
          <w:sz w:val="22"/>
          <w:szCs w:val="22"/>
        </w:rPr>
        <w:t>ruction and management on this area, a systematic integration of planning, construction and management was established to strengthen decision-making and leadership by Shenzhen Municipal Government through the founding of the Shenzhen Bay Super Base Headqua</w:t>
      </w:r>
      <w:r>
        <w:rPr>
          <w:rFonts w:ascii="微软雅黑" w:eastAsia="微软雅黑" w:hAnsi="微软雅黑" w:cs="宋体" w:hint="eastAsia"/>
          <w:sz w:val="22"/>
          <w:szCs w:val="22"/>
        </w:rPr>
        <w:t>rters (hereinafter referred to as the SSBH) as the overall management and coordination entity , the Shenzhen Bay Super Base Headquarters Office (hereinafter referred to as the SSBHO) as the deputy entity for in-depth management, and the appointment of Shen</w:t>
      </w:r>
      <w:r>
        <w:rPr>
          <w:rFonts w:ascii="微软雅黑" w:eastAsia="微软雅黑" w:hAnsi="微软雅黑" w:cs="宋体" w:hint="eastAsia"/>
          <w:sz w:val="22"/>
          <w:szCs w:val="22"/>
        </w:rPr>
        <w:t xml:space="preserve">zhen Investment Holdings Co., Ltd. ( hereinafter referred to as the SIHC) as the development and management entity for Shenzhen Bay Super Headquarters Base area. </w:t>
      </w:r>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本片区设有城市设计优化、片区综合交通提升规划与交通详细规划、片区统筹开发建设与运营、智慧城市研究、地下空间及市政工程规划、中央绿轴景观规划等专项研究工作。目前城市设计优化与片区综合交通提</w:t>
      </w:r>
      <w:r>
        <w:rPr>
          <w:rFonts w:ascii="微软雅黑" w:eastAsia="微软雅黑" w:hAnsi="微软雅黑" w:cs="宋体" w:hint="eastAsia"/>
          <w:sz w:val="24"/>
        </w:rPr>
        <w:t>升规划与交通详细规划已于</w:t>
      </w:r>
      <w:r>
        <w:rPr>
          <w:rFonts w:ascii="微软雅黑" w:eastAsia="微软雅黑" w:hAnsi="微软雅黑" w:cs="宋体" w:hint="eastAsia"/>
          <w:sz w:val="24"/>
        </w:rPr>
        <w:t>2018</w:t>
      </w:r>
      <w:r>
        <w:rPr>
          <w:rFonts w:ascii="微软雅黑" w:eastAsia="微软雅黑" w:hAnsi="微软雅黑" w:cs="宋体" w:hint="eastAsia"/>
          <w:sz w:val="24"/>
        </w:rPr>
        <w:t>年开展并将完成最终成果。其他专项正同步进行国际咨询或招标工作，</w:t>
      </w:r>
      <w:r>
        <w:rPr>
          <w:rFonts w:ascii="微软雅黑" w:eastAsia="微软雅黑" w:hAnsi="微软雅黑" w:cs="宋体" w:hint="eastAsia"/>
          <w:sz w:val="24"/>
        </w:rPr>
        <w:lastRenderedPageBreak/>
        <w:t>片区统筹开发建设与运营国际咨询中标单位将与其它专项研究团队协同工作。</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This area is composed by special research programs: urban design optimization, comprehensive regional transportation improvement planning and detailed transportation planning</w:t>
      </w:r>
      <w:r>
        <w:rPr>
          <w:rFonts w:ascii="微软雅黑" w:eastAsia="微软雅黑" w:hAnsi="微软雅黑" w:cs="宋体" w:hint="eastAsia"/>
          <w:sz w:val="22"/>
          <w:szCs w:val="22"/>
        </w:rPr>
        <w:t>, overall regional development and operation, smart cities study, underground space and municipal projects planning, central green axis landscape planning and etc.. Urban design optimization and comprehensive regional transportation improvement planning an</w:t>
      </w:r>
      <w:r>
        <w:rPr>
          <w:rFonts w:ascii="微软雅黑" w:eastAsia="微软雅黑" w:hAnsi="微软雅黑" w:cs="宋体" w:hint="eastAsia"/>
          <w:sz w:val="22"/>
          <w:szCs w:val="22"/>
        </w:rPr>
        <w:t>d detailed transportation planning have started in 2018, while other special research programs are open for international consultation and bidding. The bid-winning firm on overall development and operation international consultant will work together with a</w:t>
      </w:r>
      <w:r>
        <w:rPr>
          <w:rFonts w:ascii="微软雅黑" w:eastAsia="微软雅黑" w:hAnsi="微软雅黑" w:cs="宋体" w:hint="eastAsia"/>
          <w:sz w:val="22"/>
          <w:szCs w:val="22"/>
        </w:rPr>
        <w:t>ll the special research program teams.</w:t>
      </w:r>
    </w:p>
    <w:p w:rsidR="00F267BB" w:rsidRDefault="00C85F06">
      <w:pPr>
        <w:pStyle w:val="af1"/>
        <w:spacing w:afterLines="50" w:after="156" w:line="560" w:lineRule="exact"/>
        <w:ind w:left="420" w:firstLineChars="0" w:firstLine="0"/>
        <w:outlineLvl w:val="0"/>
        <w:rPr>
          <w:rFonts w:ascii="微软雅黑" w:eastAsia="微软雅黑" w:hAnsi="微软雅黑" w:cs="宋体"/>
          <w:b/>
          <w:sz w:val="24"/>
        </w:rPr>
      </w:pPr>
      <w:bookmarkStart w:id="16" w:name="_Toc2046"/>
      <w:r>
        <w:rPr>
          <w:rFonts w:ascii="微软雅黑" w:eastAsia="微软雅黑" w:hAnsi="微软雅黑" w:cs="宋体" w:hint="eastAsia"/>
          <w:b/>
          <w:sz w:val="24"/>
        </w:rPr>
        <w:t>（</w:t>
      </w:r>
      <w:r>
        <w:rPr>
          <w:rFonts w:ascii="微软雅黑" w:eastAsia="微软雅黑" w:hAnsi="微软雅黑" w:cs="宋体" w:hint="eastAsia"/>
          <w:b/>
          <w:sz w:val="24"/>
        </w:rPr>
        <w:t>2</w:t>
      </w:r>
      <w:r>
        <w:rPr>
          <w:rFonts w:ascii="微软雅黑" w:eastAsia="微软雅黑" w:hAnsi="微软雅黑" w:cs="宋体" w:hint="eastAsia"/>
          <w:b/>
          <w:sz w:val="24"/>
        </w:rPr>
        <w:t>）</w:t>
      </w:r>
      <w:r>
        <w:rPr>
          <w:rFonts w:ascii="微软雅黑" w:eastAsia="微软雅黑" w:hAnsi="微软雅黑" w:cs="宋体" w:hint="eastAsia"/>
          <w:b/>
          <w:sz w:val="24"/>
        </w:rPr>
        <w:t>项目历程</w:t>
      </w:r>
      <w:bookmarkEnd w:id="16"/>
    </w:p>
    <w:p w:rsidR="00F267BB" w:rsidRDefault="00C85F06">
      <w:pPr>
        <w:pStyle w:val="af1"/>
        <w:spacing w:afterLines="50" w:after="156" w:line="560" w:lineRule="exact"/>
        <w:ind w:left="420" w:firstLineChars="0" w:firstLine="0"/>
        <w:outlineLvl w:val="0"/>
        <w:rPr>
          <w:rFonts w:ascii="微软雅黑" w:eastAsia="微软雅黑" w:hAnsi="微软雅黑" w:cs="宋体"/>
          <w:b/>
          <w:sz w:val="22"/>
          <w:szCs w:val="22"/>
        </w:rPr>
      </w:pPr>
      <w:bookmarkStart w:id="17" w:name="_Toc24906"/>
      <w:r>
        <w:rPr>
          <w:rFonts w:ascii="微软雅黑" w:eastAsia="微软雅黑" w:hAnsi="微软雅黑" w:cs="宋体" w:hint="eastAsia"/>
          <w:b/>
          <w:sz w:val="22"/>
          <w:szCs w:val="22"/>
        </w:rPr>
        <w:t>（</w:t>
      </w:r>
      <w:r>
        <w:rPr>
          <w:rFonts w:ascii="微软雅黑" w:eastAsia="微软雅黑" w:hAnsi="微软雅黑" w:cs="宋体" w:hint="eastAsia"/>
          <w:b/>
          <w:sz w:val="22"/>
          <w:szCs w:val="22"/>
        </w:rPr>
        <w:t>2</w:t>
      </w:r>
      <w:r>
        <w:rPr>
          <w:rFonts w:ascii="微软雅黑" w:eastAsia="微软雅黑" w:hAnsi="微软雅黑" w:cs="宋体" w:hint="eastAsia"/>
          <w:b/>
          <w:sz w:val="22"/>
          <w:szCs w:val="22"/>
        </w:rPr>
        <w:t>）</w:t>
      </w:r>
      <w:r>
        <w:rPr>
          <w:rFonts w:ascii="微软雅黑" w:eastAsia="微软雅黑" w:hAnsi="微软雅黑" w:cs="宋体" w:hint="eastAsia"/>
          <w:b/>
          <w:sz w:val="22"/>
          <w:szCs w:val="22"/>
        </w:rPr>
        <w:t>Course of Planning</w:t>
      </w:r>
      <w:bookmarkEnd w:id="17"/>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2001</w:t>
      </w:r>
      <w:r>
        <w:rPr>
          <w:rFonts w:ascii="微软雅黑" w:eastAsia="微软雅黑" w:hAnsi="微软雅黑" w:cs="宋体" w:hint="eastAsia"/>
          <w:sz w:val="24"/>
        </w:rPr>
        <w:t>年原深圳市规划局开展了《华侨城南填海区详细蓝图》编制工作，十数年内对华侨城南填海区进行了持续的城市设计方案修改工作，从原有单一的“滨海城市住区”（</w:t>
      </w:r>
      <w:r>
        <w:rPr>
          <w:rFonts w:ascii="微软雅黑" w:eastAsia="微软雅黑" w:hAnsi="微软雅黑" w:cs="宋体" w:hint="eastAsia"/>
          <w:sz w:val="24"/>
        </w:rPr>
        <w:t>2001</w:t>
      </w:r>
      <w:r>
        <w:rPr>
          <w:rFonts w:ascii="微软雅黑" w:eastAsia="微软雅黑" w:hAnsi="微软雅黑" w:cs="宋体" w:hint="eastAsia"/>
          <w:sz w:val="24"/>
        </w:rPr>
        <w:t>年）到复合的“滨海文化商务中心”（</w:t>
      </w:r>
      <w:r>
        <w:rPr>
          <w:rFonts w:ascii="微软雅黑" w:eastAsia="微软雅黑" w:hAnsi="微软雅黑" w:cs="宋体" w:hint="eastAsia"/>
          <w:sz w:val="24"/>
        </w:rPr>
        <w:t>2004</w:t>
      </w:r>
      <w:r>
        <w:rPr>
          <w:rFonts w:ascii="微软雅黑" w:eastAsia="微软雅黑" w:hAnsi="微软雅黑" w:cs="宋体" w:hint="eastAsia"/>
          <w:sz w:val="24"/>
        </w:rPr>
        <w:t>年）再到“超级总部基地”（</w:t>
      </w:r>
      <w:r>
        <w:rPr>
          <w:rFonts w:ascii="微软雅黑" w:eastAsia="微软雅黑" w:hAnsi="微软雅黑" w:cs="宋体" w:hint="eastAsia"/>
          <w:sz w:val="24"/>
        </w:rPr>
        <w:t>2007</w:t>
      </w:r>
      <w:r>
        <w:rPr>
          <w:rFonts w:ascii="微软雅黑" w:eastAsia="微软雅黑" w:hAnsi="微软雅黑" w:cs="宋体" w:hint="eastAsia"/>
          <w:sz w:val="24"/>
        </w:rPr>
        <w:t>年），从单纯的城市空间设计发展到城市生活方式的引导。</w:t>
      </w:r>
    </w:p>
    <w:p w:rsidR="00F267BB" w:rsidRDefault="00C2789D">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noProof/>
          <w:sz w:val="22"/>
          <w:szCs w:val="22"/>
        </w:rPr>
        <w:lastRenderedPageBreak/>
        <w:drawing>
          <wp:anchor distT="0" distB="0" distL="114300" distR="114300" simplePos="0" relativeHeight="251655680" behindDoc="0" locked="0" layoutInCell="1" allowOverlap="1">
            <wp:simplePos x="0" y="0"/>
            <wp:positionH relativeFrom="column">
              <wp:posOffset>40253</wp:posOffset>
            </wp:positionH>
            <wp:positionV relativeFrom="paragraph">
              <wp:posOffset>4109776</wp:posOffset>
            </wp:positionV>
            <wp:extent cx="5165725" cy="3694430"/>
            <wp:effectExtent l="0" t="0" r="15875" b="127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5725" cy="3694430"/>
                    </a:xfrm>
                    <a:prstGeom prst="rect">
                      <a:avLst/>
                    </a:prstGeom>
                  </pic:spPr>
                </pic:pic>
              </a:graphicData>
            </a:graphic>
          </wp:anchor>
        </w:drawing>
      </w:r>
      <w:r w:rsidR="00C85F06">
        <w:rPr>
          <w:rFonts w:ascii="微软雅黑" w:eastAsia="微软雅黑" w:hAnsi="微软雅黑" w:cs="宋体" w:hint="eastAsia"/>
          <w:sz w:val="22"/>
          <w:szCs w:val="22"/>
        </w:rPr>
        <w:t xml:space="preserve">In 2001, the former Urban Planning Bureau of Shenzhen conducted the editing on Detailed Blueprint of the Reclamation Area in the South of OCT. By offering dynamic tracing service, the former Urban Planning Bureau of </w:t>
      </w:r>
      <w:r w:rsidR="00C85F06">
        <w:rPr>
          <w:rFonts w:ascii="微软雅黑" w:eastAsia="微软雅黑" w:hAnsi="微软雅黑" w:cs="宋体" w:hint="eastAsia"/>
          <w:sz w:val="22"/>
          <w:szCs w:val="22"/>
        </w:rPr>
        <w:t>Shenzhen has been reviewing and revisin</w:t>
      </w:r>
      <w:r w:rsidR="00C85F06">
        <w:rPr>
          <w:rFonts w:ascii="微软雅黑" w:eastAsia="微软雅黑" w:hAnsi="微软雅黑" w:cs="宋体" w:hint="eastAsia"/>
          <w:sz w:val="22"/>
          <w:szCs w:val="22"/>
        </w:rPr>
        <w:t xml:space="preserve">g their urban design plans in their service period in the past 10 plus years. The positioning has been revised from the original simplex </w:t>
      </w:r>
      <w:r w:rsidR="00C85F06">
        <w:rPr>
          <w:rFonts w:ascii="微软雅黑" w:eastAsia="微软雅黑" w:hAnsi="微软雅黑" w:cs="宋体" w:hint="eastAsia"/>
          <w:sz w:val="22"/>
          <w:szCs w:val="22"/>
        </w:rPr>
        <w:t>“</w:t>
      </w:r>
      <w:r w:rsidR="00C85F06">
        <w:rPr>
          <w:rFonts w:ascii="微软雅黑" w:eastAsia="微软雅黑" w:hAnsi="微软雅黑" w:cs="宋体" w:hint="eastAsia"/>
          <w:sz w:val="22"/>
          <w:szCs w:val="22"/>
        </w:rPr>
        <w:t>coastal urban residential area</w:t>
      </w:r>
      <w:r w:rsidR="00C85F06">
        <w:rPr>
          <w:rFonts w:ascii="微软雅黑" w:eastAsia="微软雅黑" w:hAnsi="微软雅黑" w:cs="宋体" w:hint="eastAsia"/>
          <w:sz w:val="22"/>
          <w:szCs w:val="22"/>
        </w:rPr>
        <w:t>”</w:t>
      </w:r>
      <w:r w:rsidR="00C85F06">
        <w:rPr>
          <w:rFonts w:ascii="微软雅黑" w:eastAsia="微软雅黑" w:hAnsi="微软雅黑" w:cs="宋体" w:hint="eastAsia"/>
          <w:sz w:val="22"/>
          <w:szCs w:val="22"/>
        </w:rPr>
        <w:t xml:space="preserve">(in 2001) to the mixed-use </w:t>
      </w:r>
      <w:r w:rsidR="00C85F06">
        <w:rPr>
          <w:rFonts w:ascii="微软雅黑" w:eastAsia="微软雅黑" w:hAnsi="微软雅黑" w:cs="宋体" w:hint="eastAsia"/>
          <w:sz w:val="22"/>
          <w:szCs w:val="22"/>
        </w:rPr>
        <w:t>“</w:t>
      </w:r>
      <w:r w:rsidR="00C85F06">
        <w:rPr>
          <w:rFonts w:ascii="微软雅黑" w:eastAsia="微软雅黑" w:hAnsi="微软雅黑" w:cs="宋体" w:hint="eastAsia"/>
          <w:sz w:val="22"/>
          <w:szCs w:val="22"/>
        </w:rPr>
        <w:t>coastal cultural and commercial center</w:t>
      </w:r>
      <w:r w:rsidR="00C85F06">
        <w:rPr>
          <w:rFonts w:ascii="微软雅黑" w:eastAsia="微软雅黑" w:hAnsi="微软雅黑" w:cs="宋体" w:hint="eastAsia"/>
          <w:sz w:val="22"/>
          <w:szCs w:val="22"/>
        </w:rPr>
        <w:t>”（</w:t>
      </w:r>
      <w:r w:rsidR="00C85F06">
        <w:rPr>
          <w:rFonts w:ascii="微软雅黑" w:eastAsia="微软雅黑" w:hAnsi="微软雅黑" w:cs="宋体" w:hint="eastAsia"/>
          <w:sz w:val="22"/>
          <w:szCs w:val="22"/>
        </w:rPr>
        <w:t>in 2004) and finall</w:t>
      </w:r>
      <w:r w:rsidR="00C85F06">
        <w:rPr>
          <w:rFonts w:ascii="微软雅黑" w:eastAsia="微软雅黑" w:hAnsi="微软雅黑" w:cs="宋体" w:hint="eastAsia"/>
          <w:sz w:val="22"/>
          <w:szCs w:val="22"/>
        </w:rPr>
        <w:t xml:space="preserve">y to the </w:t>
      </w:r>
      <w:r w:rsidR="00C85F06">
        <w:rPr>
          <w:rFonts w:ascii="微软雅黑" w:eastAsia="微软雅黑" w:hAnsi="微软雅黑" w:cs="宋体" w:hint="eastAsia"/>
          <w:sz w:val="22"/>
          <w:szCs w:val="22"/>
        </w:rPr>
        <w:t>“</w:t>
      </w:r>
      <w:r w:rsidR="00C85F06">
        <w:rPr>
          <w:rFonts w:ascii="微软雅黑" w:eastAsia="微软雅黑" w:hAnsi="微软雅黑" w:cs="宋体" w:hint="eastAsia"/>
          <w:sz w:val="22"/>
          <w:szCs w:val="22"/>
        </w:rPr>
        <w:t>super headquarters base</w:t>
      </w:r>
      <w:r w:rsidR="00C85F06">
        <w:rPr>
          <w:rFonts w:ascii="微软雅黑" w:eastAsia="微软雅黑" w:hAnsi="微软雅黑" w:cs="宋体" w:hint="eastAsia"/>
          <w:sz w:val="22"/>
          <w:szCs w:val="22"/>
        </w:rPr>
        <w:t>”</w:t>
      </w:r>
      <w:r w:rsidR="00C85F06">
        <w:rPr>
          <w:rFonts w:ascii="微软雅黑" w:eastAsia="微软雅黑" w:hAnsi="微软雅黑" w:cs="宋体" w:hint="eastAsia"/>
          <w:sz w:val="22"/>
          <w:szCs w:val="22"/>
        </w:rPr>
        <w:t>(in 2007), witnessing changes from simple urban spatial design to the concept of leading urban life style. It thus laid a solid foundation for the social objectives and spatial structure of urban design.</w:t>
      </w:r>
    </w:p>
    <w:p w:rsidR="00F267BB" w:rsidRDefault="00C85F06">
      <w:pPr>
        <w:spacing w:afterLines="50" w:after="156" w:line="560" w:lineRule="exact"/>
        <w:ind w:firstLineChars="177" w:firstLine="389"/>
        <w:jc w:val="center"/>
        <w:rPr>
          <w:rFonts w:ascii="微软雅黑" w:eastAsia="微软雅黑" w:hAnsi="微软雅黑" w:cs="宋体"/>
          <w:sz w:val="22"/>
          <w:szCs w:val="22"/>
        </w:rPr>
      </w:pPr>
      <w:r>
        <w:rPr>
          <w:rFonts w:ascii="微软雅黑" w:eastAsia="微软雅黑" w:hAnsi="微软雅黑" w:cs="宋体" w:hint="eastAsia"/>
          <w:sz w:val="22"/>
          <w:szCs w:val="22"/>
        </w:rPr>
        <w:t>图</w:t>
      </w:r>
      <w:r>
        <w:rPr>
          <w:rFonts w:ascii="微软雅黑" w:eastAsia="微软雅黑" w:hAnsi="微软雅黑" w:cs="宋体" w:hint="eastAsia"/>
          <w:sz w:val="22"/>
          <w:szCs w:val="22"/>
        </w:rPr>
        <w:t>1</w:t>
      </w:r>
      <w:r>
        <w:rPr>
          <w:rFonts w:ascii="微软雅黑" w:eastAsia="微软雅黑" w:hAnsi="微软雅黑" w:cs="宋体" w:hint="eastAsia"/>
          <w:sz w:val="22"/>
          <w:szCs w:val="22"/>
        </w:rPr>
        <w:t>规划历程</w:t>
      </w:r>
    </w:p>
    <w:p w:rsidR="00F267BB" w:rsidRDefault="00C85F06">
      <w:pPr>
        <w:spacing w:afterLines="50" w:after="156" w:line="560" w:lineRule="exact"/>
        <w:ind w:firstLineChars="177" w:firstLine="389"/>
        <w:jc w:val="center"/>
        <w:rPr>
          <w:rFonts w:ascii="微软雅黑" w:eastAsia="微软雅黑" w:hAnsi="微软雅黑" w:cs="宋体"/>
          <w:sz w:val="22"/>
          <w:szCs w:val="22"/>
        </w:rPr>
      </w:pPr>
      <w:r>
        <w:rPr>
          <w:rFonts w:ascii="微软雅黑" w:eastAsia="微软雅黑" w:hAnsi="微软雅黑" w:cs="宋体" w:hint="eastAsia"/>
          <w:sz w:val="22"/>
          <w:szCs w:val="22"/>
        </w:rPr>
        <w:t>Fig.1 Cours</w:t>
      </w:r>
      <w:r>
        <w:rPr>
          <w:rFonts w:ascii="微软雅黑" w:eastAsia="微软雅黑" w:hAnsi="微软雅黑" w:cs="宋体" w:hint="eastAsia"/>
          <w:sz w:val="22"/>
          <w:szCs w:val="22"/>
        </w:rPr>
        <w:t>e of Planning</w:t>
      </w:r>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lastRenderedPageBreak/>
        <w:t>2011</w:t>
      </w:r>
      <w:r>
        <w:rPr>
          <w:rFonts w:ascii="微软雅黑" w:eastAsia="微软雅黑" w:hAnsi="微软雅黑" w:cs="宋体" w:hint="eastAsia"/>
          <w:sz w:val="24"/>
        </w:rPr>
        <w:t>年原深圳市规划和国土资源委员会重新启动了对该地区的规划设计研究工作，开展了《深圳湾超级总部基地控制性详细规划》。作为深圳未来城市建设的实验展示性地区，建议将生态低碳城市构想、数字城市技术等新科技综合融入深圳湾填海区，与后海中心区形成良性互动。该规划于</w:t>
      </w:r>
      <w:r>
        <w:rPr>
          <w:rFonts w:ascii="微软雅黑" w:eastAsia="微软雅黑" w:hAnsi="微软雅黑" w:cs="宋体" w:hint="eastAsia"/>
          <w:sz w:val="24"/>
        </w:rPr>
        <w:t>2014</w:t>
      </w:r>
      <w:r>
        <w:rPr>
          <w:rFonts w:ascii="微软雅黑" w:eastAsia="微软雅黑" w:hAnsi="微软雅黑" w:cs="宋体" w:hint="eastAsia"/>
          <w:sz w:val="24"/>
        </w:rPr>
        <w:t>年</w:t>
      </w:r>
      <w:r>
        <w:rPr>
          <w:rFonts w:ascii="微软雅黑" w:eastAsia="微软雅黑" w:hAnsi="微软雅黑" w:cs="宋体" w:hint="eastAsia"/>
          <w:sz w:val="24"/>
        </w:rPr>
        <w:t>3</w:t>
      </w:r>
      <w:r>
        <w:rPr>
          <w:rFonts w:ascii="微软雅黑" w:eastAsia="微软雅黑" w:hAnsi="微软雅黑" w:cs="宋体" w:hint="eastAsia"/>
          <w:sz w:val="24"/>
        </w:rPr>
        <w:t>月</w:t>
      </w:r>
      <w:r>
        <w:rPr>
          <w:rFonts w:ascii="微软雅黑" w:eastAsia="微软雅黑" w:hAnsi="微软雅黑" w:cs="宋体" w:hint="eastAsia"/>
          <w:sz w:val="24"/>
        </w:rPr>
        <w:t>14</w:t>
      </w:r>
      <w:r>
        <w:rPr>
          <w:rFonts w:ascii="微软雅黑" w:eastAsia="微软雅黑" w:hAnsi="微软雅黑" w:cs="宋体" w:hint="eastAsia"/>
          <w:sz w:val="24"/>
        </w:rPr>
        <w:t>日，获深圳市政府五届一百零五次常务会议原则通过。</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In 2011, the former Shenzhen Urban Planning, Land and Resources Commission res</w:t>
      </w:r>
      <w:r>
        <w:rPr>
          <w:rFonts w:ascii="微软雅黑" w:eastAsia="微软雅黑" w:hAnsi="微软雅黑" w:cs="宋体" w:hint="eastAsia"/>
          <w:sz w:val="22"/>
          <w:szCs w:val="22"/>
        </w:rPr>
        <w:t>tarted the planning and design of the area and conducted the Regulatory Detailed Plan of Shenzhen Bay Super Headquarters Base. It proposes to incorporate ecological and low-carbon city concept, digital city technology and other new technologies into Shenzh</w:t>
      </w:r>
      <w:r>
        <w:rPr>
          <w:rFonts w:ascii="微软雅黑" w:eastAsia="微软雅黑" w:hAnsi="微软雅黑" w:cs="宋体" w:hint="eastAsia"/>
          <w:sz w:val="22"/>
          <w:szCs w:val="22"/>
        </w:rPr>
        <w:t>en Bay Reclamation Area, which serves as an experimental demonstration area for future urban development of Shenzhen, for positive interactions with Houhai Central District. The regulatory detailed plan was approved on March 14, 2014 in the 105th session o</w:t>
      </w:r>
      <w:r>
        <w:rPr>
          <w:rFonts w:ascii="微软雅黑" w:eastAsia="微软雅黑" w:hAnsi="微软雅黑" w:cs="宋体" w:hint="eastAsia"/>
          <w:sz w:val="22"/>
          <w:szCs w:val="22"/>
        </w:rPr>
        <w:t>f the 5th Standing Meeting of the Shenzhen Municipal Government.</w:t>
      </w:r>
    </w:p>
    <w:p w:rsidR="00F267BB" w:rsidRDefault="00C27FBC">
      <w:pPr>
        <w:spacing w:afterLines="50" w:after="156" w:line="560" w:lineRule="exact"/>
        <w:ind w:firstLineChars="177" w:firstLine="389"/>
        <w:jc w:val="center"/>
        <w:rPr>
          <w:rFonts w:ascii="微软雅黑" w:eastAsia="微软雅黑" w:hAnsi="微软雅黑" w:cs="宋体"/>
          <w:sz w:val="22"/>
          <w:szCs w:val="22"/>
        </w:rPr>
      </w:pPr>
      <w:r>
        <w:rPr>
          <w:rFonts w:ascii="微软雅黑" w:eastAsia="微软雅黑" w:hAnsi="微软雅黑" w:cs="宋体" w:hint="eastAsia"/>
          <w:noProof/>
          <w:sz w:val="22"/>
          <w:szCs w:val="22"/>
        </w:rPr>
        <w:lastRenderedPageBreak/>
        <w:drawing>
          <wp:anchor distT="0" distB="0" distL="114300" distR="114300" simplePos="0" relativeHeight="251656704" behindDoc="0" locked="0" layoutInCell="1" allowOverlap="1">
            <wp:simplePos x="0" y="0"/>
            <wp:positionH relativeFrom="column">
              <wp:posOffset>187242</wp:posOffset>
            </wp:positionH>
            <wp:positionV relativeFrom="paragraph">
              <wp:posOffset>111318</wp:posOffset>
            </wp:positionV>
            <wp:extent cx="4896485" cy="4197350"/>
            <wp:effectExtent l="0" t="0" r="18415" b="1270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896485" cy="4197350"/>
                    </a:xfrm>
                    <a:prstGeom prst="rect">
                      <a:avLst/>
                    </a:prstGeom>
                  </pic:spPr>
                </pic:pic>
              </a:graphicData>
            </a:graphic>
          </wp:anchor>
        </w:drawing>
      </w:r>
      <w:r w:rsidR="00C85F06">
        <w:rPr>
          <w:rFonts w:ascii="微软雅黑" w:eastAsia="微软雅黑" w:hAnsi="微软雅黑" w:cs="宋体" w:hint="eastAsia"/>
          <w:sz w:val="22"/>
          <w:szCs w:val="22"/>
        </w:rPr>
        <w:t>图</w:t>
      </w:r>
      <w:r w:rsidR="00C85F06">
        <w:rPr>
          <w:rFonts w:ascii="微软雅黑" w:eastAsia="微软雅黑" w:hAnsi="微软雅黑" w:cs="宋体" w:hint="eastAsia"/>
          <w:sz w:val="22"/>
          <w:szCs w:val="22"/>
        </w:rPr>
        <w:t>2</w:t>
      </w:r>
      <w:r w:rsidR="00C85F06">
        <w:rPr>
          <w:rFonts w:ascii="微软雅黑" w:eastAsia="微软雅黑" w:hAnsi="微软雅黑" w:cs="宋体" w:hint="eastAsia"/>
          <w:sz w:val="22"/>
          <w:szCs w:val="22"/>
        </w:rPr>
        <w:t>深圳湾超级总部基地控制性详细规划</w:t>
      </w:r>
      <w:r w:rsidR="00C85F06">
        <w:rPr>
          <w:rFonts w:ascii="微软雅黑" w:eastAsia="微软雅黑" w:hAnsi="微软雅黑" w:cs="宋体" w:hint="eastAsia"/>
          <w:sz w:val="22"/>
          <w:szCs w:val="22"/>
        </w:rPr>
        <w:t>2014</w:t>
      </w:r>
      <w:r w:rsidR="00C85F06">
        <w:rPr>
          <w:rFonts w:ascii="微软雅黑" w:eastAsia="微软雅黑" w:hAnsi="微软雅黑" w:cs="宋体" w:hint="eastAsia"/>
          <w:sz w:val="22"/>
          <w:szCs w:val="22"/>
        </w:rPr>
        <w:t>版</w:t>
      </w:r>
    </w:p>
    <w:p w:rsidR="00F267BB" w:rsidRDefault="00C85F06">
      <w:pPr>
        <w:spacing w:afterLines="50" w:after="156" w:line="560" w:lineRule="exact"/>
        <w:ind w:firstLineChars="177" w:firstLine="389"/>
        <w:jc w:val="center"/>
        <w:rPr>
          <w:rFonts w:ascii="微软雅黑" w:eastAsia="微软雅黑" w:hAnsi="微软雅黑" w:cs="宋体"/>
          <w:sz w:val="22"/>
          <w:szCs w:val="22"/>
        </w:rPr>
      </w:pPr>
      <w:r>
        <w:rPr>
          <w:rFonts w:ascii="微软雅黑" w:eastAsia="微软雅黑" w:hAnsi="微软雅黑" w:cs="宋体" w:hint="eastAsia"/>
          <w:sz w:val="22"/>
          <w:szCs w:val="22"/>
        </w:rPr>
        <w:t xml:space="preserve">Fig.2 Regulatory Detailed Plan of </w:t>
      </w:r>
      <w:bookmarkStart w:id="18" w:name="OLE_LINK8"/>
      <w:r>
        <w:rPr>
          <w:rFonts w:ascii="微软雅黑" w:eastAsia="微软雅黑" w:hAnsi="微软雅黑" w:cs="宋体" w:hint="eastAsia"/>
          <w:sz w:val="22"/>
          <w:szCs w:val="22"/>
        </w:rPr>
        <w:t xml:space="preserve">Shenzhen Bay </w:t>
      </w:r>
    </w:p>
    <w:p w:rsidR="00F267BB" w:rsidRDefault="00C85F06">
      <w:pPr>
        <w:spacing w:afterLines="50" w:after="156" w:line="560" w:lineRule="exact"/>
        <w:ind w:firstLineChars="177" w:firstLine="389"/>
        <w:jc w:val="center"/>
        <w:rPr>
          <w:rFonts w:ascii="微软雅黑" w:eastAsia="微软雅黑" w:hAnsi="微软雅黑" w:cs="宋体"/>
          <w:sz w:val="22"/>
          <w:szCs w:val="22"/>
        </w:rPr>
      </w:pPr>
      <w:r>
        <w:rPr>
          <w:rFonts w:ascii="微软雅黑" w:eastAsia="微软雅黑" w:hAnsi="微软雅黑" w:cs="宋体" w:hint="eastAsia"/>
          <w:sz w:val="22"/>
          <w:szCs w:val="22"/>
        </w:rPr>
        <w:t>Super Headquarters Base</w:t>
      </w:r>
      <w:bookmarkEnd w:id="18"/>
      <w:r>
        <w:rPr>
          <w:rFonts w:ascii="微软雅黑" w:eastAsia="微软雅黑" w:hAnsi="微软雅黑" w:cs="宋体" w:hint="eastAsia"/>
          <w:sz w:val="22"/>
          <w:szCs w:val="22"/>
        </w:rPr>
        <w:t xml:space="preserve"> (2014)</w:t>
      </w:r>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2013</w:t>
      </w:r>
      <w:r>
        <w:rPr>
          <w:rFonts w:ascii="微软雅黑" w:eastAsia="微软雅黑" w:hAnsi="微软雅黑" w:cs="宋体" w:hint="eastAsia"/>
          <w:sz w:val="24"/>
        </w:rPr>
        <w:t>年和</w:t>
      </w:r>
      <w:r>
        <w:rPr>
          <w:rFonts w:ascii="微软雅黑" w:eastAsia="微软雅黑" w:hAnsi="微软雅黑" w:cs="宋体" w:hint="eastAsia"/>
          <w:sz w:val="24"/>
        </w:rPr>
        <w:t>2014</w:t>
      </w:r>
      <w:r>
        <w:rPr>
          <w:rFonts w:ascii="微软雅黑" w:eastAsia="微软雅黑" w:hAnsi="微软雅黑" w:cs="宋体" w:hint="eastAsia"/>
          <w:sz w:val="24"/>
        </w:rPr>
        <w:t>年，在当时的规划研究成果基础上，原深圳市规划和国土资源委员会开展了深圳湾超级总部基地国际工作坊和超级总部核心区概念方案的国际竞赛，集思广益提出了极富想象力及创造性的未来城市建设概念，也使得本片区的公众关注度及国际知名度进一步提升。</w:t>
      </w:r>
      <w:r>
        <w:rPr>
          <w:rFonts w:ascii="微软雅黑" w:eastAsia="微软雅黑" w:hAnsi="微软雅黑" w:cs="宋体" w:hint="eastAsia"/>
          <w:sz w:val="24"/>
        </w:rPr>
        <w:t>2018</w:t>
      </w:r>
      <w:r>
        <w:rPr>
          <w:rFonts w:ascii="微软雅黑" w:eastAsia="微软雅黑" w:hAnsi="微软雅黑" w:cs="宋体" w:hint="eastAsia"/>
          <w:sz w:val="24"/>
        </w:rPr>
        <w:t>年，为了对该片区提出更具创意与国际视野的深化、优化设计工作，深超总办公室开展了深圳湾超级总部基地城市设计优化、片区综合交通提升规划与交通详细规划两项国际咨询活动，对片区的布局结构、开发强度、功能构成、公共空间、建筑风貌、生态景观、城</w:t>
      </w:r>
      <w:r>
        <w:rPr>
          <w:rFonts w:ascii="微软雅黑" w:eastAsia="微软雅黑" w:hAnsi="微软雅黑" w:cs="宋体" w:hint="eastAsia"/>
          <w:sz w:val="24"/>
        </w:rPr>
        <w:lastRenderedPageBreak/>
        <w:t>市天际线、综合交通、地</w:t>
      </w:r>
      <w:r>
        <w:rPr>
          <w:rFonts w:ascii="微软雅黑" w:eastAsia="微软雅黑" w:hAnsi="微软雅黑" w:cs="宋体" w:hint="eastAsia"/>
          <w:sz w:val="24"/>
        </w:rPr>
        <w:t>面道路、地下道路、轨道规划等内容进行系统性设计，指导片区高质高效、科学有序的开发建设和运营管理。</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In 2013 and 2014, based on the existing results of planning and research at that time, the former Shenzhen Urban Planning, Land and Resources Commission organized the Shenzhen Bay Super Headquarters Base International Workshop and an international competit</w:t>
      </w:r>
      <w:r>
        <w:rPr>
          <w:rFonts w:ascii="微软雅黑" w:eastAsia="微软雅黑" w:hAnsi="微软雅黑" w:cs="宋体" w:hint="eastAsia"/>
          <w:sz w:val="22"/>
          <w:szCs w:val="22"/>
        </w:rPr>
        <w:t>ion on the conceptual plan of the core area of Shenzhen Bay Super Headquarters Base. These activities helped solicit ideas from all walks of life to refine and detail the design in terms of creativity and international vision. In these activities, imaginat</w:t>
      </w:r>
      <w:r>
        <w:rPr>
          <w:rFonts w:ascii="微软雅黑" w:eastAsia="微软雅黑" w:hAnsi="微软雅黑" w:cs="宋体" w:hint="eastAsia"/>
          <w:sz w:val="22"/>
          <w:szCs w:val="22"/>
        </w:rPr>
        <w:t>ive and creative construction concepts of future cities were proposed which helped boost the public attention to and international reputation of this area.In 2018, Open Call for Urban Design Optimization of Shenzhen Bay Super Headquarters Base and Comprehe</w:t>
      </w:r>
      <w:r>
        <w:rPr>
          <w:rFonts w:ascii="微软雅黑" w:eastAsia="微软雅黑" w:hAnsi="微软雅黑" w:cs="宋体" w:hint="eastAsia"/>
          <w:sz w:val="22"/>
          <w:szCs w:val="22"/>
        </w:rPr>
        <w:t>nsive Transportation Improvement Planning and Detailed Transportation Planning were hosted by the SSBHO to systematically design of the layout structure, development strength, functional composition, public space, architectural style, ecological landscape,</w:t>
      </w:r>
      <w:r>
        <w:rPr>
          <w:rFonts w:ascii="微软雅黑" w:eastAsia="微软雅黑" w:hAnsi="微软雅黑" w:cs="宋体" w:hint="eastAsia"/>
          <w:sz w:val="22"/>
          <w:szCs w:val="22"/>
        </w:rPr>
        <w:t xml:space="preserve"> city skyline, integrated transportation, ground-level roads, underground roads, urban railway planning are required to strengthen lean planning control of spatial form and guide orderly development and construction of the area. </w:t>
      </w:r>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目前，上述两项国际咨询正进行优化整合，计划于</w:t>
      </w:r>
      <w:r>
        <w:rPr>
          <w:rFonts w:ascii="微软雅黑" w:eastAsia="微软雅黑" w:hAnsi="微软雅黑" w:cs="宋体" w:hint="eastAsia"/>
          <w:sz w:val="24"/>
        </w:rPr>
        <w:t>6</w:t>
      </w:r>
      <w:r>
        <w:rPr>
          <w:rFonts w:ascii="微软雅黑" w:eastAsia="微软雅黑" w:hAnsi="微软雅黑" w:cs="宋体" w:hint="eastAsia"/>
          <w:sz w:val="24"/>
        </w:rPr>
        <w:t>月底形</w:t>
      </w:r>
      <w:r>
        <w:rPr>
          <w:rFonts w:ascii="微软雅黑" w:eastAsia="微软雅黑" w:hAnsi="微软雅黑" w:cs="宋体" w:hint="eastAsia"/>
          <w:sz w:val="24"/>
        </w:rPr>
        <w:t>成最终成果。</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noProof/>
          <w:sz w:val="22"/>
          <w:szCs w:val="22"/>
        </w:rPr>
        <w:lastRenderedPageBreak/>
        <w:drawing>
          <wp:anchor distT="0" distB="0" distL="114300" distR="114300" simplePos="0" relativeHeight="251657728" behindDoc="0" locked="0" layoutInCell="1" allowOverlap="1">
            <wp:simplePos x="0" y="0"/>
            <wp:positionH relativeFrom="column">
              <wp:posOffset>203835</wp:posOffset>
            </wp:positionH>
            <wp:positionV relativeFrom="paragraph">
              <wp:posOffset>1278890</wp:posOffset>
            </wp:positionV>
            <wp:extent cx="5069840" cy="3107690"/>
            <wp:effectExtent l="0" t="0" r="16510" b="1651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069840" cy="3107690"/>
                    </a:xfrm>
                    <a:prstGeom prst="rect">
                      <a:avLst/>
                    </a:prstGeom>
                    <a:noFill/>
                    <a:ln>
                      <a:noFill/>
                    </a:ln>
                  </pic:spPr>
                </pic:pic>
              </a:graphicData>
            </a:graphic>
          </wp:anchor>
        </w:drawing>
      </w:r>
      <w:r>
        <w:rPr>
          <w:rFonts w:ascii="微软雅黑" w:eastAsia="微软雅黑" w:hAnsi="微软雅黑" w:cs="宋体" w:hint="eastAsia"/>
          <w:sz w:val="22"/>
          <w:szCs w:val="22"/>
        </w:rPr>
        <w:t xml:space="preserve">At present, the two international consultations stated above are under optimization and integration, and the achievement will be revealed by the end of June. </w:t>
      </w:r>
    </w:p>
    <w:p w:rsidR="00F267BB" w:rsidRDefault="00C85F06">
      <w:pPr>
        <w:spacing w:afterLines="50" w:after="156" w:line="560" w:lineRule="exact"/>
        <w:jc w:val="center"/>
        <w:rPr>
          <w:rFonts w:ascii="微软雅黑" w:eastAsia="微软雅黑" w:hAnsi="微软雅黑" w:cs="宋体"/>
          <w:sz w:val="22"/>
          <w:szCs w:val="22"/>
        </w:rPr>
      </w:pPr>
      <w:r>
        <w:rPr>
          <w:rFonts w:ascii="微软雅黑" w:eastAsia="微软雅黑" w:hAnsi="微软雅黑" w:cs="宋体" w:hint="eastAsia"/>
          <w:sz w:val="22"/>
          <w:szCs w:val="22"/>
        </w:rPr>
        <w:t>图</w:t>
      </w:r>
      <w:r>
        <w:rPr>
          <w:rFonts w:ascii="微软雅黑" w:eastAsia="微软雅黑" w:hAnsi="微软雅黑" w:cs="宋体" w:hint="eastAsia"/>
          <w:sz w:val="22"/>
          <w:szCs w:val="22"/>
        </w:rPr>
        <w:t>3</w:t>
      </w:r>
      <w:r>
        <w:rPr>
          <w:rFonts w:ascii="微软雅黑" w:eastAsia="微软雅黑" w:hAnsi="微软雅黑" w:cs="宋体" w:hint="eastAsia"/>
          <w:sz w:val="22"/>
          <w:szCs w:val="22"/>
        </w:rPr>
        <w:t>深圳湾超级总部基地城市设计优化国际咨询中标方案总平面图</w:t>
      </w:r>
    </w:p>
    <w:p w:rsidR="00F267BB" w:rsidRDefault="00C85F06">
      <w:pPr>
        <w:widowControl/>
        <w:jc w:val="center"/>
        <w:rPr>
          <w:rFonts w:ascii="微软雅黑" w:eastAsia="微软雅黑" w:hAnsi="微软雅黑" w:cs="宋体"/>
          <w:sz w:val="22"/>
          <w:szCs w:val="22"/>
        </w:rPr>
      </w:pPr>
      <w:r>
        <w:rPr>
          <w:rFonts w:ascii="微软雅黑" w:eastAsia="微软雅黑" w:hAnsi="微软雅黑" w:cs="宋体" w:hint="eastAsia"/>
          <w:sz w:val="22"/>
          <w:szCs w:val="22"/>
        </w:rPr>
        <w:t>Fig.3 Winning Proposal of International Consultation on Urb</w:t>
      </w:r>
      <w:r>
        <w:rPr>
          <w:rFonts w:ascii="微软雅黑" w:eastAsia="微软雅黑" w:hAnsi="微软雅黑" w:cs="宋体" w:hint="eastAsia"/>
          <w:sz w:val="22"/>
          <w:szCs w:val="22"/>
        </w:rPr>
        <w:t>an Design Optimization of Shenzhen Bay Super Headquarters Base</w:t>
      </w:r>
      <w:r>
        <w:rPr>
          <w:rFonts w:ascii="微软雅黑" w:eastAsia="微软雅黑" w:hAnsi="微软雅黑" w:cs="宋体" w:hint="eastAsia"/>
          <w:sz w:val="22"/>
          <w:szCs w:val="22"/>
        </w:rPr>
        <w:t>.</w:t>
      </w:r>
    </w:p>
    <w:p w:rsidR="00F267BB" w:rsidRDefault="00C85F06">
      <w:pPr>
        <w:pStyle w:val="af1"/>
        <w:spacing w:afterLines="50" w:after="156" w:line="560" w:lineRule="exact"/>
        <w:ind w:left="420" w:firstLineChars="0" w:firstLine="0"/>
        <w:outlineLvl w:val="0"/>
        <w:rPr>
          <w:rFonts w:ascii="微软雅黑" w:eastAsia="微软雅黑" w:hAnsi="微软雅黑" w:cs="宋体"/>
          <w:b/>
          <w:sz w:val="24"/>
        </w:rPr>
      </w:pPr>
      <w:bookmarkStart w:id="19" w:name="_Toc11263"/>
      <w:r>
        <w:rPr>
          <w:rFonts w:ascii="微软雅黑" w:eastAsia="微软雅黑" w:hAnsi="微软雅黑" w:cs="宋体" w:hint="eastAsia"/>
          <w:b/>
          <w:sz w:val="24"/>
        </w:rPr>
        <w:t>（</w:t>
      </w:r>
      <w:r>
        <w:rPr>
          <w:rFonts w:ascii="微软雅黑" w:eastAsia="微软雅黑" w:hAnsi="微软雅黑" w:cs="宋体" w:hint="eastAsia"/>
          <w:b/>
          <w:sz w:val="24"/>
        </w:rPr>
        <w:t>3</w:t>
      </w:r>
      <w:r>
        <w:rPr>
          <w:rFonts w:ascii="微软雅黑" w:eastAsia="微软雅黑" w:hAnsi="微软雅黑" w:cs="宋体" w:hint="eastAsia"/>
          <w:b/>
          <w:sz w:val="24"/>
        </w:rPr>
        <w:t>）</w:t>
      </w:r>
      <w:r>
        <w:rPr>
          <w:rFonts w:ascii="微软雅黑" w:eastAsia="微软雅黑" w:hAnsi="微软雅黑" w:cs="宋体" w:hint="eastAsia"/>
          <w:b/>
          <w:sz w:val="24"/>
        </w:rPr>
        <w:t>现状条件</w:t>
      </w:r>
      <w:bookmarkEnd w:id="19"/>
    </w:p>
    <w:p w:rsidR="00F267BB" w:rsidRDefault="00C85F06">
      <w:pPr>
        <w:pStyle w:val="af1"/>
        <w:spacing w:afterLines="50" w:after="156" w:line="560" w:lineRule="exact"/>
        <w:ind w:left="420" w:firstLineChars="0" w:firstLine="0"/>
        <w:outlineLvl w:val="0"/>
        <w:rPr>
          <w:rFonts w:ascii="微软雅黑" w:eastAsia="微软雅黑" w:hAnsi="微软雅黑" w:cs="宋体"/>
          <w:b/>
          <w:sz w:val="22"/>
          <w:szCs w:val="22"/>
        </w:rPr>
      </w:pPr>
      <w:bookmarkStart w:id="20" w:name="_Toc16323"/>
      <w:r>
        <w:rPr>
          <w:rFonts w:ascii="微软雅黑" w:eastAsia="微软雅黑" w:hAnsi="微软雅黑" w:cs="宋体" w:hint="eastAsia"/>
          <w:b/>
          <w:sz w:val="22"/>
          <w:szCs w:val="22"/>
        </w:rPr>
        <w:t>（</w:t>
      </w:r>
      <w:r>
        <w:rPr>
          <w:rFonts w:ascii="微软雅黑" w:eastAsia="微软雅黑" w:hAnsi="微软雅黑" w:cs="宋体" w:hint="eastAsia"/>
          <w:b/>
          <w:sz w:val="22"/>
          <w:szCs w:val="22"/>
        </w:rPr>
        <w:t>3</w:t>
      </w:r>
      <w:r>
        <w:rPr>
          <w:rFonts w:ascii="微软雅黑" w:eastAsia="微软雅黑" w:hAnsi="微软雅黑" w:cs="宋体" w:hint="eastAsia"/>
          <w:b/>
          <w:sz w:val="22"/>
          <w:szCs w:val="22"/>
        </w:rPr>
        <w:t>）</w:t>
      </w:r>
      <w:r>
        <w:rPr>
          <w:rFonts w:ascii="微软雅黑" w:eastAsia="微软雅黑" w:hAnsi="微软雅黑" w:cs="宋体" w:hint="eastAsia"/>
          <w:b/>
          <w:sz w:val="22"/>
          <w:szCs w:val="22"/>
        </w:rPr>
        <w:t>Existing Site Conditions</w:t>
      </w:r>
      <w:bookmarkEnd w:id="20"/>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深圳湾超级总部基地位于深圳湾北面，华侨城地区南部，是塘朗山</w:t>
      </w:r>
      <w:r>
        <w:rPr>
          <w:rFonts w:ascii="微软雅黑" w:eastAsia="微软雅黑" w:hAnsi="微软雅黑" w:cs="宋体" w:hint="eastAsia"/>
          <w:sz w:val="24"/>
        </w:rPr>
        <w:t>-</w:t>
      </w:r>
      <w:r>
        <w:rPr>
          <w:rFonts w:ascii="微软雅黑" w:eastAsia="微软雅黑" w:hAnsi="微软雅黑" w:cs="宋体" w:hint="eastAsia"/>
          <w:sz w:val="24"/>
        </w:rPr>
        <w:t>华侨城</w:t>
      </w:r>
      <w:r>
        <w:rPr>
          <w:rFonts w:ascii="微软雅黑" w:eastAsia="微软雅黑" w:hAnsi="微软雅黑" w:cs="宋体" w:hint="eastAsia"/>
          <w:sz w:val="24"/>
        </w:rPr>
        <w:t>-</w:t>
      </w:r>
      <w:r>
        <w:rPr>
          <w:rFonts w:ascii="微软雅黑" w:eastAsia="微软雅黑" w:hAnsi="微软雅黑" w:cs="宋体" w:hint="eastAsia"/>
          <w:sz w:val="24"/>
        </w:rPr>
        <w:t>深圳湾城市功能空间轴的核心城市功能区段之一。深圳湾由西至东布局了蛇口地区、西部通道口岸、后海中心区、高新区和华侨城地区。根据最新深圳市城市总体规划，环深圳湾地区将成为粤港澳大湾区最重要的城市地区之一，成为激发深圳跻身全球一流城市的能量起点。</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lastRenderedPageBreak/>
        <w:t xml:space="preserve">Located in the north of Shenzhen Bay and in the south of OCT, Shenzhen Bay Super Headquarters Base is a core segment of the Tanglang Mountain-OCT-Shenzhen Bay urban functional space axis. Shekou area, West Corridor port, Houhai Central District, High-Tech </w:t>
      </w:r>
      <w:r>
        <w:rPr>
          <w:rFonts w:ascii="微软雅黑" w:eastAsia="微软雅黑" w:hAnsi="微软雅黑" w:cs="宋体" w:hint="eastAsia"/>
          <w:sz w:val="22"/>
          <w:szCs w:val="22"/>
        </w:rPr>
        <w:t xml:space="preserve">Zone and OCT area are included in the layout of Shenzhen Bay from the west to the east. According to the latest master plan of Shenzhen, Shenzhen Bay rim will become one of the most crucial urban area in the Guangdong-Hong Kong-Macao Greater Bay Area, and </w:t>
      </w:r>
      <w:r>
        <w:rPr>
          <w:rFonts w:ascii="微软雅黑" w:eastAsia="微软雅黑" w:hAnsi="微软雅黑" w:cs="宋体" w:hint="eastAsia"/>
          <w:sz w:val="22"/>
          <w:szCs w:val="22"/>
        </w:rPr>
        <w:t>a base powering Shenzhen</w:t>
      </w:r>
      <w:r>
        <w:rPr>
          <w:rFonts w:ascii="微软雅黑" w:eastAsia="微软雅黑" w:hAnsi="微软雅黑" w:cs="宋体" w:hint="eastAsia"/>
          <w:sz w:val="22"/>
          <w:szCs w:val="22"/>
        </w:rPr>
        <w:t>’</w:t>
      </w:r>
      <w:r>
        <w:rPr>
          <w:rFonts w:ascii="微软雅黑" w:eastAsia="微软雅黑" w:hAnsi="微软雅黑" w:cs="宋体" w:hint="eastAsia"/>
          <w:sz w:val="22"/>
          <w:szCs w:val="22"/>
        </w:rPr>
        <w:t>s efforts to be a first-tier city in the world.</w:t>
      </w:r>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目前，按照深圳市委市政府的工作部署，深圳湾超级总部基地已进入加速建设实施阶段，除早期联泰返还用地项目、地铁上盖投融资项目（深湾汇云中心）外，近年来已出让了中信证券、招商银行、天音通信、碳云智能、恒力、中国电子、中兴通讯、神州数码、万科、恒大和欧加通信</w:t>
      </w:r>
      <w:r>
        <w:rPr>
          <w:rFonts w:ascii="微软雅黑" w:eastAsia="微软雅黑" w:hAnsi="微软雅黑" w:cs="宋体" w:hint="eastAsia"/>
          <w:sz w:val="24"/>
        </w:rPr>
        <w:t>11</w:t>
      </w:r>
      <w:r>
        <w:rPr>
          <w:rFonts w:ascii="微软雅黑" w:eastAsia="微软雅黑" w:hAnsi="微软雅黑" w:cs="宋体" w:hint="eastAsia"/>
          <w:sz w:val="24"/>
        </w:rPr>
        <w:t>个项目，已出让土地面积约共</w:t>
      </w:r>
      <w:r>
        <w:rPr>
          <w:rFonts w:ascii="微软雅黑" w:eastAsia="微软雅黑" w:hAnsi="微软雅黑" w:cs="宋体" w:hint="eastAsia"/>
          <w:sz w:val="24"/>
        </w:rPr>
        <w:t>41.2</w:t>
      </w:r>
      <w:r>
        <w:rPr>
          <w:rFonts w:ascii="微软雅黑" w:eastAsia="微软雅黑" w:hAnsi="微软雅黑" w:cs="宋体" w:hint="eastAsia"/>
          <w:sz w:val="24"/>
        </w:rPr>
        <w:t>公顷，上述用地已占到规划总用地的</w:t>
      </w:r>
      <w:r>
        <w:rPr>
          <w:rFonts w:ascii="微软雅黑" w:eastAsia="微软雅黑" w:hAnsi="微软雅黑" w:cs="宋体" w:hint="eastAsia"/>
          <w:sz w:val="24"/>
        </w:rPr>
        <w:t>35%</w:t>
      </w:r>
      <w:r>
        <w:rPr>
          <w:rFonts w:ascii="微软雅黑" w:eastAsia="微软雅黑" w:hAnsi="微软雅黑" w:cs="宋体" w:hint="eastAsia"/>
          <w:sz w:val="24"/>
        </w:rPr>
        <w:t>左右。</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Currently, accor</w:t>
      </w:r>
      <w:r>
        <w:rPr>
          <w:rFonts w:ascii="微软雅黑" w:eastAsia="微软雅黑" w:hAnsi="微软雅黑" w:cs="宋体" w:hint="eastAsia"/>
          <w:sz w:val="22"/>
          <w:szCs w:val="22"/>
        </w:rPr>
        <w:t>ding to the work deployment of the Shenzhen Municipal CPC Committee and the Municipal Government, Shenzhen Bay Super Headquarters Base has ushered in a stage of accelerated construction. Besides the early land return project of Liantai Group and the invest</w:t>
      </w:r>
      <w:r>
        <w:rPr>
          <w:rFonts w:ascii="微软雅黑" w:eastAsia="微软雅黑" w:hAnsi="微软雅黑" w:cs="宋体" w:hint="eastAsia"/>
          <w:sz w:val="22"/>
          <w:szCs w:val="22"/>
        </w:rPr>
        <w:t xml:space="preserve">ment and financing project located above the subway station (Shenzhen Bay Huiyun Center), a total land area of 41.2 hectares has been assigned to eleven projects in recent years, including Citic Securities, China Merchants Bank, Telling Telecommunication, </w:t>
      </w:r>
      <w:r>
        <w:rPr>
          <w:rFonts w:ascii="微软雅黑" w:eastAsia="微软雅黑" w:hAnsi="微软雅黑" w:cs="宋体" w:hint="eastAsia"/>
          <w:sz w:val="22"/>
          <w:szCs w:val="22"/>
        </w:rPr>
        <w:t>iCarbonX, Hengli Group, China Electronics, ZTE, Digital China, Vanke, Evergrande and Oppo, accounting for 35% of the total planned land use area.</w:t>
      </w:r>
    </w:p>
    <w:p w:rsidR="00F267BB" w:rsidRDefault="00C85F06">
      <w:pPr>
        <w:tabs>
          <w:tab w:val="left" w:pos="720"/>
        </w:tabs>
        <w:spacing w:beforeLines="50" w:before="156" w:afterLines="50" w:after="156" w:line="560" w:lineRule="exact"/>
        <w:ind w:firstLineChars="177" w:firstLine="389"/>
        <w:jc w:val="center"/>
        <w:rPr>
          <w:rFonts w:ascii="微软雅黑" w:eastAsia="微软雅黑" w:hAnsi="微软雅黑" w:cs="宋体"/>
          <w:sz w:val="22"/>
          <w:szCs w:val="22"/>
        </w:rPr>
      </w:pPr>
      <w:r>
        <w:rPr>
          <w:rFonts w:ascii="微软雅黑" w:eastAsia="微软雅黑" w:hAnsi="微软雅黑" w:cs="宋体" w:hint="eastAsia"/>
          <w:noProof/>
          <w:sz w:val="22"/>
          <w:szCs w:val="22"/>
        </w:rPr>
        <w:lastRenderedPageBreak/>
        <w:drawing>
          <wp:anchor distT="0" distB="0" distL="114300" distR="114300" simplePos="0" relativeHeight="251658752" behindDoc="0" locked="0" layoutInCell="1" allowOverlap="1">
            <wp:simplePos x="0" y="0"/>
            <wp:positionH relativeFrom="column">
              <wp:posOffset>151765</wp:posOffset>
            </wp:positionH>
            <wp:positionV relativeFrom="paragraph">
              <wp:posOffset>394970</wp:posOffset>
            </wp:positionV>
            <wp:extent cx="5250180" cy="3433445"/>
            <wp:effectExtent l="0" t="0" r="7620" b="1460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50180" cy="3433445"/>
                    </a:xfrm>
                    <a:prstGeom prst="rect">
                      <a:avLst/>
                    </a:prstGeom>
                    <a:noFill/>
                    <a:ln>
                      <a:noFill/>
                    </a:ln>
                  </pic:spPr>
                </pic:pic>
              </a:graphicData>
            </a:graphic>
          </wp:anchor>
        </w:drawing>
      </w:r>
      <w:r>
        <w:rPr>
          <w:rFonts w:ascii="微软雅黑" w:eastAsia="微软雅黑" w:hAnsi="微软雅黑" w:cs="宋体" w:hint="eastAsia"/>
          <w:sz w:val="22"/>
          <w:szCs w:val="22"/>
        </w:rPr>
        <w:t>图</w:t>
      </w:r>
      <w:r>
        <w:rPr>
          <w:rFonts w:ascii="微软雅黑" w:eastAsia="微软雅黑" w:hAnsi="微软雅黑" w:cs="宋体" w:hint="eastAsia"/>
          <w:sz w:val="22"/>
          <w:szCs w:val="22"/>
        </w:rPr>
        <w:t>4</w:t>
      </w:r>
      <w:r>
        <w:rPr>
          <w:rFonts w:ascii="微软雅黑" w:eastAsia="微软雅黑" w:hAnsi="微软雅黑" w:cs="宋体" w:hint="eastAsia"/>
          <w:sz w:val="22"/>
          <w:szCs w:val="22"/>
        </w:rPr>
        <w:t>土地出让情况图</w:t>
      </w:r>
    </w:p>
    <w:p w:rsidR="00F267BB" w:rsidRDefault="00C85F06">
      <w:pPr>
        <w:tabs>
          <w:tab w:val="left" w:pos="720"/>
        </w:tabs>
        <w:spacing w:beforeLines="50" w:before="156" w:afterLines="50" w:after="156" w:line="560" w:lineRule="exact"/>
        <w:ind w:firstLineChars="177" w:firstLine="389"/>
        <w:jc w:val="center"/>
        <w:rPr>
          <w:rFonts w:ascii="微软雅黑" w:eastAsia="微软雅黑" w:hAnsi="微软雅黑" w:cs="宋体"/>
          <w:sz w:val="22"/>
          <w:szCs w:val="22"/>
        </w:rPr>
      </w:pPr>
      <w:r>
        <w:rPr>
          <w:rFonts w:ascii="微软雅黑" w:eastAsia="微软雅黑" w:hAnsi="微软雅黑" w:cs="宋体" w:hint="eastAsia"/>
          <w:sz w:val="22"/>
          <w:szCs w:val="22"/>
        </w:rPr>
        <w:t>Fig.4 Current Land Assignment</w:t>
      </w:r>
    </w:p>
    <w:p w:rsidR="00F267BB" w:rsidRDefault="00F267BB">
      <w:pPr>
        <w:tabs>
          <w:tab w:val="left" w:pos="720"/>
        </w:tabs>
        <w:spacing w:beforeLines="50" w:before="156" w:afterLines="50" w:after="156" w:line="560" w:lineRule="exact"/>
        <w:ind w:firstLineChars="177" w:firstLine="389"/>
        <w:jc w:val="center"/>
        <w:rPr>
          <w:rFonts w:ascii="微软雅黑" w:eastAsia="微软雅黑" w:hAnsi="微软雅黑" w:cs="宋体"/>
          <w:sz w:val="22"/>
          <w:szCs w:val="22"/>
        </w:rPr>
      </w:pPr>
    </w:p>
    <w:p w:rsidR="00F267BB" w:rsidRDefault="00C85F06">
      <w:pPr>
        <w:pStyle w:val="af1"/>
        <w:numPr>
          <w:ilvl w:val="0"/>
          <w:numId w:val="2"/>
        </w:numPr>
        <w:spacing w:afterLines="50" w:after="156" w:line="560" w:lineRule="exact"/>
        <w:ind w:left="0" w:firstLineChars="177" w:firstLine="496"/>
        <w:outlineLvl w:val="0"/>
        <w:rPr>
          <w:rFonts w:ascii="微软雅黑" w:eastAsia="微软雅黑" w:hAnsi="微软雅黑" w:cs="宋体"/>
          <w:b/>
          <w:sz w:val="28"/>
          <w:szCs w:val="28"/>
        </w:rPr>
      </w:pPr>
      <w:bookmarkStart w:id="21" w:name="_Toc13886_WPSOffice_Level1"/>
      <w:bookmarkStart w:id="22" w:name="_Toc448"/>
      <w:r>
        <w:rPr>
          <w:rFonts w:ascii="微软雅黑" w:eastAsia="微软雅黑" w:hAnsi="微软雅黑" w:cs="宋体" w:hint="eastAsia"/>
          <w:b/>
          <w:sz w:val="28"/>
          <w:szCs w:val="28"/>
        </w:rPr>
        <w:t>工作目标</w:t>
      </w:r>
      <w:bookmarkEnd w:id="21"/>
      <w:bookmarkEnd w:id="22"/>
    </w:p>
    <w:p w:rsidR="00F267BB" w:rsidRDefault="00C85F06">
      <w:pPr>
        <w:pStyle w:val="af1"/>
        <w:spacing w:afterLines="50" w:after="156" w:line="560" w:lineRule="exact"/>
        <w:ind w:left="420" w:firstLineChars="0" w:firstLine="0"/>
        <w:outlineLvl w:val="0"/>
        <w:rPr>
          <w:rFonts w:ascii="微软雅黑" w:eastAsia="微软雅黑" w:hAnsi="微软雅黑" w:cs="宋体"/>
          <w:b/>
          <w:sz w:val="28"/>
          <w:szCs w:val="28"/>
        </w:rPr>
      </w:pPr>
      <w:bookmarkStart w:id="23" w:name="_Toc30999"/>
      <w:r>
        <w:rPr>
          <w:rFonts w:ascii="微软雅黑" w:eastAsia="微软雅黑" w:hAnsi="微软雅黑" w:cs="宋体" w:hint="eastAsia"/>
          <w:b/>
          <w:sz w:val="28"/>
          <w:szCs w:val="28"/>
        </w:rPr>
        <w:t>Ⅱ</w:t>
      </w:r>
      <w:r>
        <w:rPr>
          <w:rFonts w:ascii="微软雅黑" w:eastAsia="微软雅黑" w:hAnsi="微软雅黑" w:cs="宋体" w:hint="eastAsia"/>
          <w:b/>
          <w:sz w:val="28"/>
          <w:szCs w:val="28"/>
        </w:rPr>
        <w:t xml:space="preserve">. </w:t>
      </w:r>
      <w:r>
        <w:rPr>
          <w:rFonts w:ascii="微软雅黑" w:eastAsia="微软雅黑" w:hAnsi="微软雅黑" w:cs="宋体" w:hint="eastAsia"/>
          <w:b/>
          <w:sz w:val="28"/>
          <w:szCs w:val="28"/>
        </w:rPr>
        <w:t>Work Objectives</w:t>
      </w:r>
      <w:bookmarkEnd w:id="23"/>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深圳湾超级总部基地片区统筹开发建设与运营国际咨询活动旨在面向世界，面向未来，以构建粤港澳大湾区世界级城市群巅峰之地为发展愿景，通过宏观环境分析</w:t>
      </w:r>
      <w:r>
        <w:rPr>
          <w:rFonts w:ascii="微软雅黑" w:eastAsia="微软雅黑" w:hAnsi="微软雅黑" w:cs="宋体" w:hint="eastAsia"/>
          <w:sz w:val="24"/>
        </w:rPr>
        <w:t>,</w:t>
      </w:r>
      <w:r>
        <w:rPr>
          <w:rFonts w:ascii="微软雅黑" w:eastAsia="微软雅黑" w:hAnsi="微软雅黑" w:cs="宋体" w:hint="eastAsia"/>
          <w:sz w:val="24"/>
        </w:rPr>
        <w:t>国内外案例对标</w:t>
      </w:r>
      <w:r>
        <w:rPr>
          <w:rFonts w:ascii="微软雅黑" w:eastAsia="微软雅黑" w:hAnsi="微软雅黑" w:cs="宋体" w:hint="eastAsia"/>
          <w:sz w:val="24"/>
        </w:rPr>
        <w:t>,</w:t>
      </w:r>
      <w:r>
        <w:rPr>
          <w:rFonts w:ascii="微软雅黑" w:eastAsia="微软雅黑" w:hAnsi="微软雅黑" w:cs="宋体" w:hint="eastAsia"/>
          <w:sz w:val="24"/>
        </w:rPr>
        <w:t>清晰定义片区的战略愿景和功能角色；并通过片区文化、商业发展规划</w:t>
      </w:r>
      <w:r>
        <w:rPr>
          <w:rFonts w:ascii="微软雅黑" w:eastAsia="微软雅黑" w:hAnsi="微软雅黑" w:cs="宋体" w:hint="eastAsia"/>
          <w:sz w:val="24"/>
        </w:rPr>
        <w:t>,</w:t>
      </w:r>
      <w:r>
        <w:rPr>
          <w:rFonts w:ascii="微软雅黑" w:eastAsia="微软雅黑" w:hAnsi="微软雅黑" w:cs="宋体" w:hint="eastAsia"/>
          <w:sz w:val="24"/>
        </w:rPr>
        <w:t>开发运营模式研究</w:t>
      </w:r>
      <w:r>
        <w:rPr>
          <w:rFonts w:ascii="微软雅黑" w:eastAsia="微软雅黑" w:hAnsi="微软雅黑" w:cs="宋体" w:hint="eastAsia"/>
          <w:sz w:val="24"/>
        </w:rPr>
        <w:t>,</w:t>
      </w:r>
      <w:r>
        <w:rPr>
          <w:rFonts w:ascii="微软雅黑" w:eastAsia="微软雅黑" w:hAnsi="微软雅黑" w:cs="宋体" w:hint="eastAsia"/>
          <w:sz w:val="24"/>
        </w:rPr>
        <w:t>空间布局及运营管理研究，推广宣传研究等</w:t>
      </w:r>
      <w:r>
        <w:rPr>
          <w:rFonts w:ascii="微软雅黑" w:eastAsia="微软雅黑" w:hAnsi="微软雅黑" w:cs="宋体" w:hint="eastAsia"/>
          <w:sz w:val="24"/>
        </w:rPr>
        <w:t>,</w:t>
      </w:r>
      <w:r>
        <w:rPr>
          <w:rFonts w:ascii="微软雅黑" w:eastAsia="微软雅黑" w:hAnsi="微软雅黑" w:cs="宋体" w:hint="eastAsia"/>
          <w:sz w:val="24"/>
        </w:rPr>
        <w:t>系统设计实施路径，指导片区高质高效、科学有序地开发建设和运营管理。</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International Consultation for Overall Planning</w:t>
      </w:r>
      <w:r>
        <w:rPr>
          <w:rFonts w:ascii="微软雅黑" w:eastAsia="微软雅黑" w:hAnsi="微软雅黑" w:cs="宋体" w:hint="eastAsia"/>
          <w:sz w:val="22"/>
          <w:szCs w:val="22"/>
        </w:rPr>
        <w:t>，</w:t>
      </w:r>
      <w:r>
        <w:rPr>
          <w:rFonts w:ascii="微软雅黑" w:eastAsia="微软雅黑" w:hAnsi="微软雅黑" w:cs="宋体" w:hint="eastAsia"/>
          <w:sz w:val="22"/>
          <w:szCs w:val="22"/>
        </w:rPr>
        <w:t xml:space="preserve">Development and </w:t>
      </w:r>
      <w:r>
        <w:rPr>
          <w:rFonts w:ascii="微软雅黑" w:eastAsia="微软雅黑" w:hAnsi="微软雅黑" w:cs="宋体" w:hint="eastAsia"/>
          <w:sz w:val="22"/>
          <w:szCs w:val="22"/>
        </w:rPr>
        <w:lastRenderedPageBreak/>
        <w:t>Operation of Shen</w:t>
      </w:r>
      <w:r>
        <w:rPr>
          <w:rFonts w:ascii="微软雅黑" w:eastAsia="微软雅黑" w:hAnsi="微软雅黑" w:cs="宋体" w:hint="eastAsia"/>
          <w:sz w:val="22"/>
          <w:szCs w:val="22"/>
        </w:rPr>
        <w:t xml:space="preserve">zhen Bay Super Headquarters Base is future-oriented and open for global participation. With a vision of creating a masterpiece of world-class urban cluster in the Guangdong-Hong Kong-Macao Greater Bay Area, it requests participants to distinctively define </w:t>
      </w:r>
      <w:r>
        <w:rPr>
          <w:rFonts w:ascii="微软雅黑" w:eastAsia="微软雅黑" w:hAnsi="微软雅黑" w:cs="宋体" w:hint="eastAsia"/>
          <w:sz w:val="22"/>
          <w:szCs w:val="22"/>
        </w:rPr>
        <w:t>the strategic goals and functions of the area through macroscopic environment analysis, global cases benchmarking, and to guide the effective and scientific development and operation management of the area through cultural and economic development planning</w:t>
      </w:r>
      <w:r>
        <w:rPr>
          <w:rFonts w:ascii="微软雅黑" w:eastAsia="微软雅黑" w:hAnsi="微软雅黑" w:cs="宋体" w:hint="eastAsia"/>
          <w:sz w:val="22"/>
          <w:szCs w:val="22"/>
        </w:rPr>
        <w:t xml:space="preserve">, development and operation patterns research, spatial layout and operation management research, marketing and promotion research, systematic design and construction methods. </w:t>
      </w:r>
    </w:p>
    <w:p w:rsidR="00F267BB" w:rsidRDefault="00F267BB">
      <w:pPr>
        <w:pStyle w:val="af1"/>
        <w:spacing w:before="50" w:afterLines="50" w:after="156" w:line="560" w:lineRule="exact"/>
        <w:ind w:firstLine="440"/>
        <w:rPr>
          <w:rFonts w:ascii="微软雅黑" w:eastAsia="微软雅黑" w:hAnsi="微软雅黑" w:cs="宋体"/>
          <w:sz w:val="22"/>
          <w:szCs w:val="22"/>
        </w:rPr>
      </w:pPr>
    </w:p>
    <w:p w:rsidR="00F267BB" w:rsidRDefault="00C85F06">
      <w:pPr>
        <w:pStyle w:val="af1"/>
        <w:numPr>
          <w:ilvl w:val="0"/>
          <w:numId w:val="2"/>
        </w:numPr>
        <w:spacing w:afterLines="50" w:after="156" w:line="560" w:lineRule="exact"/>
        <w:ind w:left="0" w:firstLineChars="177" w:firstLine="496"/>
        <w:outlineLvl w:val="0"/>
        <w:rPr>
          <w:rFonts w:ascii="微软雅黑" w:eastAsia="微软雅黑" w:hAnsi="微软雅黑" w:cs="宋体"/>
          <w:b/>
          <w:sz w:val="28"/>
          <w:szCs w:val="28"/>
        </w:rPr>
      </w:pPr>
      <w:bookmarkStart w:id="24" w:name="_Toc19370_WPSOffice_Level1"/>
      <w:bookmarkStart w:id="25" w:name="_Toc31643"/>
      <w:r>
        <w:rPr>
          <w:rFonts w:ascii="微软雅黑" w:eastAsia="微软雅黑" w:hAnsi="微软雅黑" w:cs="宋体" w:hint="eastAsia"/>
          <w:b/>
          <w:sz w:val="28"/>
          <w:szCs w:val="28"/>
        </w:rPr>
        <w:t>工作范围</w:t>
      </w:r>
      <w:bookmarkEnd w:id="24"/>
      <w:bookmarkEnd w:id="25"/>
    </w:p>
    <w:p w:rsidR="00F267BB" w:rsidRDefault="00C85F06">
      <w:pPr>
        <w:pStyle w:val="af1"/>
        <w:spacing w:afterLines="50" w:after="156" w:line="560" w:lineRule="exact"/>
        <w:ind w:left="420" w:firstLineChars="0" w:firstLine="0"/>
        <w:outlineLvl w:val="0"/>
        <w:rPr>
          <w:rFonts w:ascii="微软雅黑" w:eastAsia="微软雅黑" w:hAnsi="微软雅黑" w:cs="宋体"/>
          <w:b/>
          <w:sz w:val="28"/>
          <w:szCs w:val="28"/>
        </w:rPr>
      </w:pPr>
      <w:bookmarkStart w:id="26" w:name="_Toc6440"/>
      <w:r>
        <w:rPr>
          <w:rFonts w:ascii="微软雅黑" w:eastAsia="微软雅黑" w:hAnsi="微软雅黑" w:cs="宋体" w:hint="eastAsia"/>
          <w:b/>
          <w:sz w:val="28"/>
          <w:szCs w:val="28"/>
        </w:rPr>
        <w:t>Ⅲ</w:t>
      </w:r>
      <w:r>
        <w:rPr>
          <w:rFonts w:ascii="微软雅黑" w:eastAsia="微软雅黑" w:hAnsi="微软雅黑" w:cs="宋体" w:hint="eastAsia"/>
          <w:b/>
          <w:sz w:val="28"/>
          <w:szCs w:val="28"/>
        </w:rPr>
        <w:t xml:space="preserve">. </w:t>
      </w:r>
      <w:r>
        <w:rPr>
          <w:rFonts w:ascii="微软雅黑" w:eastAsia="微软雅黑" w:hAnsi="微软雅黑" w:cs="宋体" w:hint="eastAsia"/>
          <w:b/>
          <w:sz w:val="28"/>
          <w:szCs w:val="28"/>
        </w:rPr>
        <w:t>Work Scope</w:t>
      </w:r>
      <w:bookmarkEnd w:id="26"/>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本次国际咨询的核心研究范围为：滨海大道、深湾一路、深湾五路、白石三道、白石路所围合的区域，用地面积</w:t>
      </w:r>
      <w:r>
        <w:rPr>
          <w:rFonts w:ascii="微软雅黑" w:eastAsia="微软雅黑" w:hAnsi="微软雅黑" w:cs="宋体" w:hint="eastAsia"/>
          <w:sz w:val="24"/>
        </w:rPr>
        <w:t>117</w:t>
      </w:r>
      <w:r>
        <w:rPr>
          <w:rFonts w:ascii="微软雅黑" w:eastAsia="微软雅黑" w:hAnsi="微软雅黑" w:cs="宋体" w:hint="eastAsia"/>
          <w:sz w:val="24"/>
        </w:rPr>
        <w:t>公顷。</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 xml:space="preserve">The </w:t>
      </w:r>
      <w:r>
        <w:rPr>
          <w:rFonts w:ascii="微软雅黑" w:eastAsia="微软雅黑" w:hAnsi="微软雅黑" w:cs="宋体" w:hint="eastAsia"/>
          <w:sz w:val="22"/>
          <w:szCs w:val="22"/>
        </w:rPr>
        <w:t>core scope of this international consultation is the area enclosed by Binhai Boulevard, Shenwan 1st Road, Shenwan 5th Road, Baishi 3rd Road and Baishi Road, with a total land area of 117 Hectares.</w:t>
      </w:r>
    </w:p>
    <w:p w:rsidR="00F267BB" w:rsidRDefault="00C85F06">
      <w:pPr>
        <w:spacing w:afterLines="50" w:after="156" w:line="560" w:lineRule="exact"/>
        <w:jc w:val="center"/>
        <w:rPr>
          <w:rFonts w:ascii="微软雅黑" w:eastAsia="微软雅黑" w:hAnsi="微软雅黑" w:cs="宋体"/>
          <w:sz w:val="22"/>
          <w:szCs w:val="22"/>
        </w:rPr>
      </w:pPr>
      <w:r>
        <w:rPr>
          <w:rFonts w:ascii="微软雅黑" w:eastAsia="微软雅黑" w:hAnsi="微软雅黑" w:cs="宋体" w:hint="eastAsia"/>
          <w:sz w:val="22"/>
          <w:szCs w:val="22"/>
        </w:rPr>
        <w:lastRenderedPageBreak/>
        <w:t>图</w:t>
      </w:r>
      <w:r>
        <w:rPr>
          <w:rFonts w:ascii="微软雅黑" w:eastAsia="微软雅黑" w:hAnsi="微软雅黑" w:cs="宋体" w:hint="eastAsia"/>
          <w:sz w:val="22"/>
          <w:szCs w:val="22"/>
        </w:rPr>
        <w:t>5</w:t>
      </w:r>
      <w:r>
        <w:rPr>
          <w:rFonts w:ascii="微软雅黑" w:eastAsia="微软雅黑" w:hAnsi="微软雅黑" w:cs="宋体" w:hint="eastAsia"/>
          <w:sz w:val="22"/>
          <w:szCs w:val="22"/>
        </w:rPr>
        <w:t>本次国际咨询核心研究范围图</w:t>
      </w:r>
      <w:r>
        <w:rPr>
          <w:rFonts w:ascii="微软雅黑" w:eastAsia="微软雅黑" w:hAnsi="微软雅黑" w:cs="宋体" w:hint="eastAsia"/>
          <w:noProof/>
          <w:sz w:val="22"/>
          <w:szCs w:val="22"/>
        </w:rPr>
        <w:drawing>
          <wp:anchor distT="0" distB="0" distL="114300" distR="114300" simplePos="0" relativeHeight="251659776" behindDoc="0" locked="0" layoutInCell="1" allowOverlap="1">
            <wp:simplePos x="0" y="0"/>
            <wp:positionH relativeFrom="column">
              <wp:posOffset>59690</wp:posOffset>
            </wp:positionH>
            <wp:positionV relativeFrom="paragraph">
              <wp:posOffset>102870</wp:posOffset>
            </wp:positionV>
            <wp:extent cx="5591810" cy="2791460"/>
            <wp:effectExtent l="0" t="0" r="8890" b="8890"/>
            <wp:wrapTopAndBottom/>
            <wp:docPr id="1" name="图片 1" descr="研究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研究范围图"/>
                    <pic:cNvPicPr>
                      <a:picLocks noChangeAspect="1" noChangeArrowheads="1"/>
                    </pic:cNvPicPr>
                  </pic:nvPicPr>
                  <pic:blipFill>
                    <a:blip r:embed="rId16">
                      <a:extLst>
                        <a:ext uri="{28A0092B-C50C-407E-A947-70E740481C1C}">
                          <a14:useLocalDpi xmlns:a14="http://schemas.microsoft.com/office/drawing/2010/main" val="0"/>
                        </a:ext>
                      </a:extLst>
                    </a:blip>
                    <a:srcRect l="3076" t="15198" r="3932" b="2208"/>
                    <a:stretch>
                      <a:fillRect/>
                    </a:stretch>
                  </pic:blipFill>
                  <pic:spPr>
                    <a:xfrm>
                      <a:off x="0" y="0"/>
                      <a:ext cx="5591810" cy="2791460"/>
                    </a:xfrm>
                    <a:prstGeom prst="rect">
                      <a:avLst/>
                    </a:prstGeom>
                    <a:noFill/>
                    <a:ln>
                      <a:noFill/>
                    </a:ln>
                  </pic:spPr>
                </pic:pic>
              </a:graphicData>
            </a:graphic>
          </wp:anchor>
        </w:drawing>
      </w:r>
    </w:p>
    <w:p w:rsidR="00F267BB" w:rsidRDefault="00C85F06">
      <w:pPr>
        <w:tabs>
          <w:tab w:val="left" w:pos="1440"/>
        </w:tabs>
        <w:adjustRightInd w:val="0"/>
        <w:snapToGrid w:val="0"/>
        <w:spacing w:beforeLines="50" w:before="156" w:afterLines="50" w:after="156"/>
        <w:ind w:rightChars="-13" w:right="-27"/>
        <w:jc w:val="center"/>
        <w:rPr>
          <w:rFonts w:ascii="微软雅黑" w:eastAsia="微软雅黑" w:hAnsi="微软雅黑" w:cs="宋体"/>
          <w:sz w:val="22"/>
          <w:szCs w:val="22"/>
        </w:rPr>
      </w:pPr>
      <w:r>
        <w:rPr>
          <w:rFonts w:ascii="微软雅黑" w:eastAsia="微软雅黑" w:hAnsi="微软雅黑" w:cs="宋体" w:hint="eastAsia"/>
          <w:sz w:val="22"/>
          <w:szCs w:val="22"/>
        </w:rPr>
        <w:t>Figure 5: The core scope of this internati</w:t>
      </w:r>
      <w:r>
        <w:rPr>
          <w:rFonts w:ascii="微软雅黑" w:eastAsia="微软雅黑" w:hAnsi="微软雅黑" w:cs="宋体" w:hint="eastAsia"/>
          <w:sz w:val="22"/>
          <w:szCs w:val="22"/>
        </w:rPr>
        <w:t>onal consultation</w:t>
      </w:r>
    </w:p>
    <w:p w:rsidR="00F267BB" w:rsidRDefault="00F267BB">
      <w:pPr>
        <w:spacing w:afterLines="50" w:after="156" w:line="560" w:lineRule="exact"/>
        <w:rPr>
          <w:rFonts w:ascii="微软雅黑" w:eastAsia="微软雅黑" w:hAnsi="微软雅黑" w:cs="宋体"/>
          <w:sz w:val="22"/>
          <w:szCs w:val="22"/>
        </w:rPr>
      </w:pPr>
    </w:p>
    <w:p w:rsidR="00F267BB" w:rsidRDefault="00C85F06">
      <w:pPr>
        <w:pStyle w:val="af1"/>
        <w:numPr>
          <w:ilvl w:val="0"/>
          <w:numId w:val="2"/>
        </w:numPr>
        <w:spacing w:afterLines="50" w:after="156" w:line="560" w:lineRule="exact"/>
        <w:ind w:left="0" w:firstLineChars="177" w:firstLine="496"/>
        <w:outlineLvl w:val="0"/>
        <w:rPr>
          <w:rFonts w:ascii="微软雅黑" w:eastAsia="微软雅黑" w:hAnsi="微软雅黑" w:cs="宋体"/>
          <w:b/>
          <w:sz w:val="28"/>
          <w:szCs w:val="28"/>
        </w:rPr>
      </w:pPr>
      <w:bookmarkStart w:id="27" w:name="_Toc24192_WPSOffice_Level1"/>
      <w:bookmarkStart w:id="28" w:name="_Toc29991"/>
      <w:r>
        <w:rPr>
          <w:rFonts w:ascii="微软雅黑" w:eastAsia="微软雅黑" w:hAnsi="微软雅黑" w:cs="宋体" w:hint="eastAsia"/>
          <w:b/>
          <w:sz w:val="28"/>
          <w:szCs w:val="28"/>
        </w:rPr>
        <w:t>工作内容</w:t>
      </w:r>
      <w:bookmarkEnd w:id="27"/>
      <w:bookmarkEnd w:id="28"/>
    </w:p>
    <w:p w:rsidR="00F267BB" w:rsidRDefault="00C85F06">
      <w:pPr>
        <w:pStyle w:val="af1"/>
        <w:spacing w:afterLines="50" w:after="156" w:line="560" w:lineRule="exact"/>
        <w:ind w:left="420" w:firstLineChars="0" w:firstLine="0"/>
        <w:outlineLvl w:val="0"/>
        <w:rPr>
          <w:rFonts w:ascii="微软雅黑" w:eastAsia="微软雅黑" w:hAnsi="微软雅黑" w:cs="宋体"/>
          <w:b/>
          <w:sz w:val="28"/>
          <w:szCs w:val="28"/>
        </w:rPr>
      </w:pPr>
      <w:bookmarkStart w:id="29" w:name="_Toc5989"/>
      <w:r>
        <w:rPr>
          <w:rFonts w:ascii="微软雅黑" w:eastAsia="微软雅黑" w:hAnsi="微软雅黑" w:cs="宋体" w:hint="eastAsia"/>
          <w:b/>
          <w:sz w:val="28"/>
          <w:szCs w:val="28"/>
        </w:rPr>
        <w:t>Ⅳ</w:t>
      </w:r>
      <w:r>
        <w:rPr>
          <w:rFonts w:ascii="微软雅黑" w:eastAsia="微软雅黑" w:hAnsi="微软雅黑" w:cs="宋体" w:hint="eastAsia"/>
          <w:b/>
          <w:sz w:val="28"/>
          <w:szCs w:val="28"/>
        </w:rPr>
        <w:t xml:space="preserve">. </w:t>
      </w:r>
      <w:r>
        <w:rPr>
          <w:rFonts w:ascii="微软雅黑" w:eastAsia="微软雅黑" w:hAnsi="微软雅黑" w:cs="宋体" w:hint="eastAsia"/>
          <w:b/>
          <w:sz w:val="28"/>
          <w:szCs w:val="28"/>
        </w:rPr>
        <w:t>Work Contents</w:t>
      </w:r>
      <w:bookmarkEnd w:id="29"/>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本次国际咨询活动，结合目前已出让土地的规划设计情况，与片区其他专项研究团队协同工作，充分对接，提出片区开发建设及运营的综合解决方案。具体工作应包括但不限于以下内容：</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The participants of this international consultation should work with other special research teams and propose wholistic and integrat</w:t>
      </w:r>
      <w:r>
        <w:rPr>
          <w:rFonts w:ascii="微软雅黑" w:eastAsia="微软雅黑" w:hAnsi="微软雅黑" w:cs="宋体" w:hint="eastAsia"/>
          <w:sz w:val="22"/>
          <w:szCs w:val="22"/>
        </w:rPr>
        <w:t>ed solutions for overall planning, development and operation of this area, based on the current land use and planning design. The final contents should include but not limit to the followings:</w:t>
      </w:r>
    </w:p>
    <w:p w:rsidR="00F267BB" w:rsidRDefault="00C85F06">
      <w:pPr>
        <w:pStyle w:val="af1"/>
        <w:tabs>
          <w:tab w:val="left" w:pos="630"/>
          <w:tab w:val="left" w:pos="840"/>
          <w:tab w:val="left" w:pos="1050"/>
        </w:tabs>
        <w:spacing w:afterLines="50" w:after="156" w:line="560" w:lineRule="exact"/>
        <w:ind w:left="420" w:firstLineChars="0" w:firstLine="0"/>
        <w:outlineLvl w:val="0"/>
        <w:rPr>
          <w:rFonts w:ascii="微软雅黑" w:eastAsia="微软雅黑" w:hAnsi="微软雅黑" w:cs="宋体"/>
          <w:b/>
          <w:sz w:val="24"/>
        </w:rPr>
      </w:pPr>
      <w:bookmarkStart w:id="30" w:name="_Toc13886_WPSOffice_Level2"/>
      <w:bookmarkStart w:id="31" w:name="_Toc20844"/>
      <w:r>
        <w:rPr>
          <w:rFonts w:ascii="微软雅黑" w:eastAsia="微软雅黑" w:hAnsi="微软雅黑" w:cs="宋体" w:hint="eastAsia"/>
          <w:b/>
          <w:sz w:val="24"/>
        </w:rPr>
        <w:t>（</w:t>
      </w:r>
      <w:r>
        <w:rPr>
          <w:rFonts w:ascii="微软雅黑" w:eastAsia="微软雅黑" w:hAnsi="微软雅黑" w:cs="宋体" w:hint="eastAsia"/>
          <w:b/>
          <w:sz w:val="24"/>
        </w:rPr>
        <w:t>1</w:t>
      </w:r>
      <w:r>
        <w:rPr>
          <w:rFonts w:ascii="微软雅黑" w:eastAsia="微软雅黑" w:hAnsi="微软雅黑" w:cs="宋体" w:hint="eastAsia"/>
          <w:b/>
          <w:sz w:val="24"/>
        </w:rPr>
        <w:t>）</w:t>
      </w:r>
      <w:r>
        <w:rPr>
          <w:rFonts w:ascii="微软雅黑" w:eastAsia="微软雅黑" w:hAnsi="微软雅黑" w:cs="宋体" w:hint="eastAsia"/>
          <w:b/>
          <w:sz w:val="24"/>
        </w:rPr>
        <w:t>宏观环境分析</w:t>
      </w:r>
      <w:bookmarkEnd w:id="30"/>
      <w:bookmarkEnd w:id="31"/>
    </w:p>
    <w:p w:rsidR="00F267BB" w:rsidRDefault="00C85F06">
      <w:pPr>
        <w:pStyle w:val="af1"/>
        <w:spacing w:afterLines="50" w:after="156" w:line="560" w:lineRule="exact"/>
        <w:ind w:left="420" w:firstLineChars="0" w:firstLine="0"/>
        <w:outlineLvl w:val="0"/>
        <w:rPr>
          <w:rFonts w:ascii="微软雅黑" w:eastAsia="微软雅黑" w:hAnsi="微软雅黑" w:cs="宋体"/>
          <w:b/>
          <w:sz w:val="22"/>
          <w:szCs w:val="22"/>
        </w:rPr>
      </w:pPr>
      <w:bookmarkStart w:id="32" w:name="_Toc14017"/>
      <w:r>
        <w:rPr>
          <w:rFonts w:ascii="微软雅黑" w:eastAsia="微软雅黑" w:hAnsi="微软雅黑" w:cs="宋体" w:hint="eastAsia"/>
          <w:b/>
          <w:sz w:val="22"/>
          <w:szCs w:val="22"/>
        </w:rPr>
        <w:lastRenderedPageBreak/>
        <w:t>（</w:t>
      </w:r>
      <w:r>
        <w:rPr>
          <w:rFonts w:ascii="微软雅黑" w:eastAsia="微软雅黑" w:hAnsi="微软雅黑" w:cs="宋体" w:hint="eastAsia"/>
          <w:b/>
          <w:sz w:val="22"/>
          <w:szCs w:val="22"/>
        </w:rPr>
        <w:t>1</w:t>
      </w:r>
      <w:r>
        <w:rPr>
          <w:rFonts w:ascii="微软雅黑" w:eastAsia="微软雅黑" w:hAnsi="微软雅黑" w:cs="宋体" w:hint="eastAsia"/>
          <w:b/>
          <w:sz w:val="22"/>
          <w:szCs w:val="22"/>
        </w:rPr>
        <w:t>）</w:t>
      </w:r>
      <w:r>
        <w:rPr>
          <w:rFonts w:ascii="微软雅黑" w:eastAsia="微软雅黑" w:hAnsi="微软雅黑" w:cs="宋体" w:hint="eastAsia"/>
          <w:b/>
          <w:sz w:val="22"/>
          <w:szCs w:val="22"/>
        </w:rPr>
        <w:t>Macro Environment Analysis</w:t>
      </w:r>
      <w:bookmarkEnd w:id="32"/>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分析全球经济和科创的发展形势及重大机遇</w:t>
      </w:r>
      <w:r>
        <w:rPr>
          <w:rFonts w:ascii="微软雅黑" w:eastAsia="微软雅黑" w:hAnsi="微软雅黑" w:cs="宋体" w:hint="eastAsia"/>
          <w:sz w:val="24"/>
        </w:rPr>
        <w:t>,</w:t>
      </w:r>
      <w:r>
        <w:rPr>
          <w:rFonts w:ascii="微软雅黑" w:eastAsia="微软雅黑" w:hAnsi="微软雅黑" w:cs="宋体" w:hint="eastAsia"/>
          <w:sz w:val="24"/>
        </w:rPr>
        <w:t>系统研究国家及地方政策，重点关注粤港澳大湾区发展及深圳城市能级跃升的痛点和需求；梳理城市核心区经济，如金融、科创、商务等潜在目标产业上位规划和政策导向，分析发展趋势、发展特点和产业布局等；调研政府相关部门需求、世界</w:t>
      </w:r>
      <w:r>
        <w:rPr>
          <w:rFonts w:ascii="微软雅黑" w:eastAsia="微软雅黑" w:hAnsi="微软雅黑" w:cs="宋体" w:hint="eastAsia"/>
          <w:sz w:val="24"/>
        </w:rPr>
        <w:t>500</w:t>
      </w:r>
      <w:r>
        <w:rPr>
          <w:rFonts w:ascii="微软雅黑" w:eastAsia="微软雅黑" w:hAnsi="微软雅黑" w:cs="宋体" w:hint="eastAsia"/>
          <w:sz w:val="24"/>
        </w:rPr>
        <w:t>强企业及“独角兽”等创新性企业的发展需求；调研片区内入驻企业的项目定位、发展规划以及对区域协同发展的诉求。</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Analysis of global trends and major opportunities of economy, technology</w:t>
      </w:r>
      <w:r>
        <w:rPr>
          <w:rFonts w:ascii="微软雅黑" w:eastAsia="微软雅黑" w:hAnsi="微软雅黑" w:cs="宋体" w:hint="eastAsia"/>
          <w:sz w:val="22"/>
          <w:szCs w:val="22"/>
        </w:rPr>
        <w:t xml:space="preserve"> and creative industry, systematic research of national and local policies with focuses on Guangdong-Hong Kong-Macao area, understanding Shenzhen</w:t>
      </w:r>
      <w:r>
        <w:rPr>
          <w:rFonts w:ascii="微软雅黑" w:eastAsia="微软雅黑" w:hAnsi="微软雅黑" w:cs="宋体" w:hint="eastAsia"/>
          <w:sz w:val="22"/>
          <w:szCs w:val="22"/>
        </w:rPr>
        <w:t>’</w:t>
      </w:r>
      <w:r>
        <w:rPr>
          <w:rFonts w:ascii="微软雅黑" w:eastAsia="微软雅黑" w:hAnsi="微软雅黑" w:cs="宋体" w:hint="eastAsia"/>
          <w:sz w:val="22"/>
          <w:szCs w:val="22"/>
        </w:rPr>
        <w:t xml:space="preserve">s pain points and needs of urban upgrades; sorting out economy system of urban core area, such as preliminary </w:t>
      </w:r>
      <w:r>
        <w:rPr>
          <w:rFonts w:ascii="微软雅黑" w:eastAsia="微软雅黑" w:hAnsi="微软雅黑" w:cs="宋体" w:hint="eastAsia"/>
          <w:sz w:val="22"/>
          <w:szCs w:val="22"/>
        </w:rPr>
        <w:t>planning and policy guidance of financial industry, creative and technological industry, business development and other potential industries, analysis of trends, development features and industry distributions; Research on the future needs of related gover</w:t>
      </w:r>
      <w:r>
        <w:rPr>
          <w:rFonts w:ascii="微软雅黑" w:eastAsia="微软雅黑" w:hAnsi="微软雅黑" w:cs="宋体" w:hint="eastAsia"/>
          <w:sz w:val="22"/>
          <w:szCs w:val="22"/>
        </w:rPr>
        <w:t xml:space="preserve">nmental entities, Fortune 500 companies, </w:t>
      </w:r>
      <w:r>
        <w:rPr>
          <w:rFonts w:ascii="微软雅黑" w:eastAsia="微软雅黑" w:hAnsi="微软雅黑" w:cs="宋体" w:hint="eastAsia"/>
          <w:sz w:val="22"/>
          <w:szCs w:val="22"/>
        </w:rPr>
        <w:t>“</w:t>
      </w:r>
      <w:r>
        <w:rPr>
          <w:rFonts w:ascii="微软雅黑" w:eastAsia="微软雅黑" w:hAnsi="微软雅黑" w:cs="宋体" w:hint="eastAsia"/>
          <w:sz w:val="22"/>
          <w:szCs w:val="22"/>
        </w:rPr>
        <w:t>Unicorn</w:t>
      </w:r>
      <w:r>
        <w:rPr>
          <w:rFonts w:ascii="微软雅黑" w:eastAsia="微软雅黑" w:hAnsi="微软雅黑" w:cs="宋体" w:hint="eastAsia"/>
          <w:sz w:val="22"/>
          <w:szCs w:val="22"/>
        </w:rPr>
        <w:t>”</w:t>
      </w:r>
      <w:r>
        <w:rPr>
          <w:rFonts w:ascii="微软雅黑" w:eastAsia="微软雅黑" w:hAnsi="微软雅黑" w:cs="宋体" w:hint="eastAsia"/>
          <w:sz w:val="22"/>
          <w:szCs w:val="22"/>
        </w:rPr>
        <w:t xml:space="preserve"> enterprises and other creative industries; Research on the project positioning, future planning and needs of perspective incoming enterprises of this area. </w:t>
      </w:r>
    </w:p>
    <w:p w:rsidR="00F267BB" w:rsidRDefault="00C85F06">
      <w:pPr>
        <w:pStyle w:val="af1"/>
        <w:tabs>
          <w:tab w:val="left" w:pos="1060"/>
        </w:tabs>
        <w:spacing w:afterLines="50" w:after="156" w:line="560" w:lineRule="exact"/>
        <w:ind w:left="420" w:firstLineChars="0" w:firstLine="0"/>
        <w:outlineLvl w:val="0"/>
        <w:rPr>
          <w:rFonts w:ascii="微软雅黑" w:eastAsia="微软雅黑" w:hAnsi="微软雅黑" w:cs="宋体"/>
          <w:b/>
          <w:sz w:val="24"/>
        </w:rPr>
      </w:pPr>
      <w:bookmarkStart w:id="33" w:name="_Toc19370_WPSOffice_Level2"/>
      <w:bookmarkStart w:id="34" w:name="_Toc11123"/>
      <w:r>
        <w:rPr>
          <w:rFonts w:ascii="微软雅黑" w:eastAsia="微软雅黑" w:hAnsi="微软雅黑" w:cs="宋体" w:hint="eastAsia"/>
          <w:b/>
          <w:sz w:val="24"/>
        </w:rPr>
        <w:t>（</w:t>
      </w:r>
      <w:r>
        <w:rPr>
          <w:rFonts w:ascii="微软雅黑" w:eastAsia="微软雅黑" w:hAnsi="微软雅黑" w:cs="宋体" w:hint="eastAsia"/>
          <w:b/>
          <w:sz w:val="24"/>
        </w:rPr>
        <w:t>2</w:t>
      </w:r>
      <w:r>
        <w:rPr>
          <w:rFonts w:ascii="微软雅黑" w:eastAsia="微软雅黑" w:hAnsi="微软雅黑" w:cs="宋体" w:hint="eastAsia"/>
          <w:b/>
          <w:sz w:val="24"/>
        </w:rPr>
        <w:t>）</w:t>
      </w:r>
      <w:r>
        <w:rPr>
          <w:rFonts w:ascii="微软雅黑" w:eastAsia="微软雅黑" w:hAnsi="微软雅黑" w:cs="宋体" w:hint="eastAsia"/>
          <w:b/>
          <w:sz w:val="24"/>
        </w:rPr>
        <w:t>国内外案例对标借鉴</w:t>
      </w:r>
      <w:bookmarkEnd w:id="33"/>
      <w:bookmarkEnd w:id="34"/>
    </w:p>
    <w:p w:rsidR="00F267BB" w:rsidRDefault="00C85F06">
      <w:pPr>
        <w:pStyle w:val="af1"/>
        <w:spacing w:afterLines="50" w:after="156" w:line="560" w:lineRule="exact"/>
        <w:ind w:left="420" w:firstLineChars="0" w:firstLine="0"/>
        <w:outlineLvl w:val="0"/>
        <w:rPr>
          <w:rFonts w:ascii="微软雅黑" w:eastAsia="微软雅黑" w:hAnsi="微软雅黑" w:cs="宋体"/>
          <w:b/>
          <w:sz w:val="22"/>
          <w:szCs w:val="22"/>
        </w:rPr>
      </w:pPr>
      <w:bookmarkStart w:id="35" w:name="_Toc640"/>
      <w:r>
        <w:rPr>
          <w:rFonts w:ascii="微软雅黑" w:eastAsia="微软雅黑" w:hAnsi="微软雅黑" w:cs="宋体" w:hint="eastAsia"/>
          <w:b/>
          <w:sz w:val="22"/>
          <w:szCs w:val="22"/>
        </w:rPr>
        <w:t>（</w:t>
      </w:r>
      <w:r>
        <w:rPr>
          <w:rFonts w:ascii="微软雅黑" w:eastAsia="微软雅黑" w:hAnsi="微软雅黑" w:cs="宋体" w:hint="eastAsia"/>
          <w:b/>
          <w:sz w:val="22"/>
          <w:szCs w:val="22"/>
        </w:rPr>
        <w:t>2</w:t>
      </w:r>
      <w:r>
        <w:rPr>
          <w:rFonts w:ascii="微软雅黑" w:eastAsia="微软雅黑" w:hAnsi="微软雅黑" w:cs="宋体" w:hint="eastAsia"/>
          <w:b/>
          <w:sz w:val="22"/>
          <w:szCs w:val="22"/>
        </w:rPr>
        <w:t>）</w:t>
      </w:r>
      <w:r>
        <w:rPr>
          <w:rFonts w:ascii="微软雅黑" w:eastAsia="微软雅黑" w:hAnsi="微软雅黑" w:cs="宋体" w:hint="eastAsia"/>
          <w:b/>
          <w:sz w:val="22"/>
          <w:szCs w:val="22"/>
        </w:rPr>
        <w:t>Benchmarking Domestic and Global</w:t>
      </w:r>
      <w:r>
        <w:rPr>
          <w:rFonts w:ascii="微软雅黑" w:eastAsia="微软雅黑" w:hAnsi="微软雅黑" w:cs="宋体" w:hint="eastAsia"/>
          <w:b/>
          <w:sz w:val="22"/>
          <w:szCs w:val="22"/>
        </w:rPr>
        <w:t xml:space="preserve"> Developments</w:t>
      </w:r>
      <w:bookmarkEnd w:id="35"/>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对标国内外案例，包含但不限于全球能级的城市核心区、金融商务区、高能</w:t>
      </w:r>
      <w:r>
        <w:rPr>
          <w:rFonts w:ascii="微软雅黑" w:eastAsia="微软雅黑" w:hAnsi="微软雅黑" w:cs="宋体" w:hint="eastAsia"/>
          <w:sz w:val="24"/>
        </w:rPr>
        <w:lastRenderedPageBreak/>
        <w:t>级湾区等（如金丝雀码头、纽约哈德逊广场、纽约湾区、东京湾以及国内城市核心区等），研究案例的目标定位、产业及城市功能、空间分区、运作模式、载体业态、空间布局、政策环境等。重点借鉴先进的城市发展理念、经济辐射引领效应、城市特质及文化底蕴彰显、国际交往、湾区发展路径、核心区运营管理模式等方面的经验和教训。</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 xml:space="preserve">Benchmarking domestic and global developments, including </w:t>
      </w:r>
      <w:r>
        <w:rPr>
          <w:rFonts w:ascii="微软雅黑" w:eastAsia="微软雅黑" w:hAnsi="微软雅黑" w:cs="宋体" w:hint="eastAsia"/>
          <w:sz w:val="22"/>
          <w:szCs w:val="22"/>
        </w:rPr>
        <w:t>but not limiting to world-class urban core district, financial and business centers, high-level bay area development (such as Canary Wharf, New York Hudson Yard Development, New York Bay Area Development, Tokyo Bay Area Development and other domestic urban</w:t>
      </w:r>
      <w:r>
        <w:rPr>
          <w:rFonts w:ascii="微软雅黑" w:eastAsia="微软雅黑" w:hAnsi="微软雅黑" w:cs="宋体" w:hint="eastAsia"/>
          <w:sz w:val="22"/>
          <w:szCs w:val="22"/>
        </w:rPr>
        <w:t xml:space="preserve"> core area developments), research on their development objectives and positioning, industry and urban programs, zonings, operation models, business, spatial arrangements, political environment and etc. Research focuses should be given to advanced urban de</w:t>
      </w:r>
      <w:r>
        <w:rPr>
          <w:rFonts w:ascii="微软雅黑" w:eastAsia="微软雅黑" w:hAnsi="微软雅黑" w:cs="宋体" w:hint="eastAsia"/>
          <w:sz w:val="22"/>
          <w:szCs w:val="22"/>
        </w:rPr>
        <w:t>velopment concepts, leading effects of economical influences, urban features and cultural development, international connections, course of development of bay areas, operation models of core districts and other related experiences.</w:t>
      </w:r>
    </w:p>
    <w:p w:rsidR="00F267BB" w:rsidRDefault="00C85F06">
      <w:pPr>
        <w:pStyle w:val="af1"/>
        <w:tabs>
          <w:tab w:val="left" w:pos="1060"/>
        </w:tabs>
        <w:spacing w:afterLines="50" w:after="156" w:line="560" w:lineRule="exact"/>
        <w:ind w:left="420" w:firstLineChars="0" w:firstLine="0"/>
        <w:outlineLvl w:val="0"/>
        <w:rPr>
          <w:rFonts w:ascii="微软雅黑" w:eastAsia="微软雅黑" w:hAnsi="微软雅黑" w:cs="宋体"/>
          <w:b/>
          <w:sz w:val="24"/>
        </w:rPr>
      </w:pPr>
      <w:bookmarkStart w:id="36" w:name="_Toc24192_WPSOffice_Level2"/>
      <w:bookmarkStart w:id="37" w:name="_Toc13407"/>
      <w:r>
        <w:rPr>
          <w:rFonts w:ascii="微软雅黑" w:eastAsia="微软雅黑" w:hAnsi="微软雅黑" w:cs="宋体" w:hint="eastAsia"/>
          <w:b/>
          <w:sz w:val="24"/>
        </w:rPr>
        <w:t>（</w:t>
      </w:r>
      <w:r>
        <w:rPr>
          <w:rFonts w:ascii="微软雅黑" w:eastAsia="微软雅黑" w:hAnsi="微软雅黑" w:cs="宋体" w:hint="eastAsia"/>
          <w:b/>
          <w:sz w:val="24"/>
        </w:rPr>
        <w:t>3</w:t>
      </w:r>
      <w:r>
        <w:rPr>
          <w:rFonts w:ascii="微软雅黑" w:eastAsia="微软雅黑" w:hAnsi="微软雅黑" w:cs="宋体" w:hint="eastAsia"/>
          <w:b/>
          <w:sz w:val="24"/>
        </w:rPr>
        <w:t>）</w:t>
      </w:r>
      <w:r>
        <w:rPr>
          <w:rFonts w:ascii="微软雅黑" w:eastAsia="微软雅黑" w:hAnsi="微软雅黑" w:cs="宋体" w:hint="eastAsia"/>
          <w:b/>
          <w:sz w:val="24"/>
        </w:rPr>
        <w:t>片区发展战略定位及推广宣传研究</w:t>
      </w:r>
      <w:bookmarkEnd w:id="36"/>
      <w:bookmarkEnd w:id="37"/>
    </w:p>
    <w:p w:rsidR="00F267BB" w:rsidRDefault="00C85F06">
      <w:pPr>
        <w:pStyle w:val="af1"/>
        <w:spacing w:afterLines="50" w:after="156" w:line="560" w:lineRule="exact"/>
        <w:ind w:left="420" w:firstLineChars="0" w:firstLine="0"/>
        <w:jc w:val="left"/>
        <w:outlineLvl w:val="0"/>
        <w:rPr>
          <w:rFonts w:ascii="微软雅黑" w:eastAsia="微软雅黑" w:hAnsi="微软雅黑" w:cs="宋体"/>
          <w:b/>
          <w:sz w:val="22"/>
          <w:szCs w:val="22"/>
        </w:rPr>
      </w:pPr>
      <w:bookmarkStart w:id="38" w:name="_Toc13915"/>
      <w:r>
        <w:rPr>
          <w:rFonts w:ascii="微软雅黑" w:eastAsia="微软雅黑" w:hAnsi="微软雅黑" w:cs="宋体" w:hint="eastAsia"/>
          <w:b/>
          <w:sz w:val="22"/>
          <w:szCs w:val="22"/>
        </w:rPr>
        <w:t>（</w:t>
      </w:r>
      <w:r>
        <w:rPr>
          <w:rFonts w:ascii="微软雅黑" w:eastAsia="微软雅黑" w:hAnsi="微软雅黑" w:cs="宋体" w:hint="eastAsia"/>
          <w:b/>
          <w:sz w:val="22"/>
          <w:szCs w:val="22"/>
        </w:rPr>
        <w:t>3</w:t>
      </w:r>
      <w:r>
        <w:rPr>
          <w:rFonts w:ascii="微软雅黑" w:eastAsia="微软雅黑" w:hAnsi="微软雅黑" w:cs="宋体" w:hint="eastAsia"/>
          <w:b/>
          <w:sz w:val="22"/>
          <w:szCs w:val="22"/>
        </w:rPr>
        <w:t>）</w:t>
      </w:r>
      <w:r>
        <w:rPr>
          <w:rFonts w:ascii="微软雅黑" w:eastAsia="微软雅黑" w:hAnsi="微软雅黑" w:cs="宋体" w:hint="eastAsia"/>
          <w:b/>
          <w:sz w:val="22"/>
          <w:szCs w:val="22"/>
        </w:rPr>
        <w:t>Re</w:t>
      </w:r>
      <w:r>
        <w:rPr>
          <w:rFonts w:ascii="微软雅黑" w:eastAsia="微软雅黑" w:hAnsi="微软雅黑" w:cs="宋体" w:hint="eastAsia"/>
          <w:b/>
          <w:sz w:val="22"/>
          <w:szCs w:val="22"/>
        </w:rPr>
        <w:t>search on Regional Development Strategies, Positioning and Marketing</w:t>
      </w:r>
      <w:bookmarkEnd w:id="38"/>
      <w:r>
        <w:rPr>
          <w:rFonts w:ascii="微软雅黑" w:eastAsia="微软雅黑" w:hAnsi="微软雅黑" w:cs="宋体" w:hint="eastAsia"/>
          <w:b/>
          <w:sz w:val="22"/>
          <w:szCs w:val="22"/>
        </w:rPr>
        <w:t xml:space="preserve"> </w:t>
      </w:r>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综合宏观环境分析，结合对标案例研究，全面梳理片区资源禀赋及优劣势；同时研究深圳其他重点片区及粤港澳大湾区其他城市核心片区发展策略，定义深</w:t>
      </w:r>
      <w:r>
        <w:rPr>
          <w:rFonts w:ascii="微软雅黑" w:eastAsia="微软雅黑" w:hAnsi="微软雅黑" w:cs="宋体" w:hint="eastAsia"/>
          <w:sz w:val="24"/>
        </w:rPr>
        <w:lastRenderedPageBreak/>
        <w:t>圳湾超级总部基地与其它片区竞争和协同关系，总结深圳湾超级总部基地的差异化竞争点；清晰定义片区的功能角色，精确解读“巅峰之作”的内在含义及其外延</w:t>
      </w:r>
      <w:r>
        <w:rPr>
          <w:rFonts w:ascii="微软雅黑" w:eastAsia="微软雅黑" w:hAnsi="微软雅黑" w:cs="宋体" w:hint="eastAsia"/>
          <w:sz w:val="24"/>
        </w:rPr>
        <w:t>,</w:t>
      </w:r>
      <w:r>
        <w:rPr>
          <w:rFonts w:ascii="微软雅黑" w:eastAsia="微软雅黑" w:hAnsi="微软雅黑" w:cs="宋体" w:hint="eastAsia"/>
          <w:sz w:val="24"/>
        </w:rPr>
        <w:t>为片区提出明确战略愿景、定位，设计实施路径。提出国际化推广宣传建议，提升整体项目和城市的国际影响力和全球美誉度。</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Based on Macro environmental analysis and benchmarking rese</w:t>
      </w:r>
      <w:r>
        <w:rPr>
          <w:rFonts w:ascii="微软雅黑" w:eastAsia="微软雅黑" w:hAnsi="微软雅黑" w:cs="宋体" w:hint="eastAsia"/>
          <w:sz w:val="22"/>
          <w:szCs w:val="22"/>
        </w:rPr>
        <w:t>arch, wholistic analysis of regional resources, advantages and disadvantages; research on development strategies of other key districts of Shenzhen and core areas of other cities of Guangdong-Hong Kong-Macao Greater Bay Area, defining competitive and colla</w:t>
      </w:r>
      <w:r>
        <w:rPr>
          <w:rFonts w:ascii="微软雅黑" w:eastAsia="微软雅黑" w:hAnsi="微软雅黑" w:cs="宋体" w:hint="eastAsia"/>
          <w:sz w:val="22"/>
          <w:szCs w:val="22"/>
        </w:rPr>
        <w:t xml:space="preserve">borated relationship between Shenzhen Bay Super Headquarters Base and other key districts, stating the competitive differentiation of Shenzhen Bay Super Headquarters Base; Clearly defining the role of each sub-districts, with precise interpretation of the </w:t>
      </w:r>
      <w:r>
        <w:rPr>
          <w:rFonts w:ascii="微软雅黑" w:eastAsia="微软雅黑" w:hAnsi="微软雅黑" w:cs="宋体" w:hint="eastAsia"/>
          <w:sz w:val="22"/>
          <w:szCs w:val="22"/>
        </w:rPr>
        <w:t xml:space="preserve">core concept of </w:t>
      </w:r>
      <w:r>
        <w:rPr>
          <w:rFonts w:ascii="微软雅黑" w:eastAsia="微软雅黑" w:hAnsi="微软雅黑" w:cs="宋体" w:hint="eastAsia"/>
          <w:sz w:val="22"/>
          <w:szCs w:val="22"/>
        </w:rPr>
        <w:t>“</w:t>
      </w:r>
      <w:r>
        <w:rPr>
          <w:rFonts w:ascii="微软雅黑" w:eastAsia="微软雅黑" w:hAnsi="微软雅黑" w:cs="宋体" w:hint="eastAsia"/>
          <w:sz w:val="22"/>
          <w:szCs w:val="22"/>
        </w:rPr>
        <w:t>masterpiece of world-class urban cluster</w:t>
      </w:r>
      <w:r>
        <w:rPr>
          <w:rFonts w:ascii="微软雅黑" w:eastAsia="微软雅黑" w:hAnsi="微软雅黑" w:cs="宋体" w:hint="eastAsia"/>
          <w:sz w:val="22"/>
          <w:szCs w:val="22"/>
        </w:rPr>
        <w:t>”</w:t>
      </w:r>
      <w:r>
        <w:rPr>
          <w:rFonts w:ascii="微软雅黑" w:eastAsia="微软雅黑" w:hAnsi="微软雅黑" w:cs="宋体" w:hint="eastAsia"/>
          <w:sz w:val="22"/>
          <w:szCs w:val="22"/>
        </w:rPr>
        <w:t xml:space="preserve"> and its conceptual extensions, clearly stating the strategic vision, positioning, and design implementations of this area. Propose international marketing strategies in order to increase the global</w:t>
      </w:r>
      <w:r>
        <w:rPr>
          <w:rFonts w:ascii="微软雅黑" w:eastAsia="微软雅黑" w:hAnsi="微软雅黑" w:cs="宋体" w:hint="eastAsia"/>
          <w:sz w:val="22"/>
          <w:szCs w:val="22"/>
        </w:rPr>
        <w:t xml:space="preserve"> influences and reputation of the project and the city. </w:t>
      </w:r>
    </w:p>
    <w:p w:rsidR="00F267BB" w:rsidRDefault="00C85F06">
      <w:pPr>
        <w:pStyle w:val="af1"/>
        <w:tabs>
          <w:tab w:val="left" w:pos="1060"/>
        </w:tabs>
        <w:spacing w:afterLines="50" w:after="156" w:line="560" w:lineRule="exact"/>
        <w:ind w:left="420" w:firstLineChars="0" w:firstLine="0"/>
        <w:outlineLvl w:val="0"/>
        <w:rPr>
          <w:rFonts w:ascii="微软雅黑" w:eastAsia="微软雅黑" w:hAnsi="微软雅黑" w:cs="宋体"/>
          <w:b/>
          <w:sz w:val="24"/>
        </w:rPr>
      </w:pPr>
      <w:bookmarkStart w:id="39" w:name="_Toc24674_WPSOffice_Level2"/>
      <w:bookmarkStart w:id="40" w:name="_Toc29578"/>
      <w:r>
        <w:rPr>
          <w:rFonts w:ascii="微软雅黑" w:eastAsia="微软雅黑" w:hAnsi="微软雅黑" w:cs="宋体" w:hint="eastAsia"/>
          <w:b/>
          <w:sz w:val="24"/>
        </w:rPr>
        <w:t>（</w:t>
      </w:r>
      <w:r>
        <w:rPr>
          <w:rFonts w:ascii="微软雅黑" w:eastAsia="微软雅黑" w:hAnsi="微软雅黑" w:cs="宋体" w:hint="eastAsia"/>
          <w:b/>
          <w:sz w:val="24"/>
        </w:rPr>
        <w:t>4</w:t>
      </w:r>
      <w:r>
        <w:rPr>
          <w:rFonts w:ascii="微软雅黑" w:eastAsia="微软雅黑" w:hAnsi="微软雅黑" w:cs="宋体" w:hint="eastAsia"/>
          <w:b/>
          <w:sz w:val="24"/>
        </w:rPr>
        <w:t>）片区发展、城市功能、空间布局及运营管理建议</w:t>
      </w:r>
      <w:bookmarkEnd w:id="39"/>
      <w:bookmarkEnd w:id="40"/>
    </w:p>
    <w:p w:rsidR="00F267BB" w:rsidRDefault="00C85F06">
      <w:pPr>
        <w:pStyle w:val="af1"/>
        <w:spacing w:afterLines="50" w:after="156" w:line="560" w:lineRule="exact"/>
        <w:ind w:left="420" w:firstLineChars="0" w:firstLine="0"/>
        <w:jc w:val="left"/>
        <w:outlineLvl w:val="0"/>
        <w:rPr>
          <w:rFonts w:ascii="微软雅黑" w:eastAsia="微软雅黑" w:hAnsi="微软雅黑" w:cs="宋体"/>
          <w:b/>
          <w:sz w:val="22"/>
          <w:szCs w:val="22"/>
        </w:rPr>
      </w:pPr>
      <w:bookmarkStart w:id="41" w:name="_Toc5317"/>
      <w:r>
        <w:rPr>
          <w:rFonts w:ascii="微软雅黑" w:eastAsia="微软雅黑" w:hAnsi="微软雅黑" w:cs="宋体" w:hint="eastAsia"/>
          <w:b/>
          <w:sz w:val="22"/>
          <w:szCs w:val="22"/>
        </w:rPr>
        <w:t>（</w:t>
      </w:r>
      <w:r>
        <w:rPr>
          <w:rFonts w:ascii="微软雅黑" w:eastAsia="微软雅黑" w:hAnsi="微软雅黑" w:cs="宋体" w:hint="eastAsia"/>
          <w:b/>
          <w:sz w:val="22"/>
          <w:szCs w:val="22"/>
        </w:rPr>
        <w:t>4</w:t>
      </w:r>
      <w:r>
        <w:rPr>
          <w:rFonts w:ascii="微软雅黑" w:eastAsia="微软雅黑" w:hAnsi="微软雅黑" w:cs="宋体" w:hint="eastAsia"/>
          <w:b/>
          <w:sz w:val="22"/>
          <w:szCs w:val="22"/>
        </w:rPr>
        <w:t>）</w:t>
      </w:r>
      <w:r>
        <w:rPr>
          <w:rFonts w:ascii="微软雅黑" w:eastAsia="微软雅黑" w:hAnsi="微软雅黑" w:cs="宋体" w:hint="eastAsia"/>
          <w:b/>
          <w:sz w:val="22"/>
          <w:szCs w:val="22"/>
        </w:rPr>
        <w:t>Suggestion on Regional Development, Urban Functions, Spatial Layout and Operations and Managements</w:t>
      </w:r>
      <w:bookmarkEnd w:id="41"/>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基于深圳湾超级总部基地战略定位，为潜在入驻企业和主要服务人群画像，深入了解目标企业及人群需求；研究未来重点发展产业和导入的城市功能及公共</w:t>
      </w:r>
      <w:r>
        <w:rPr>
          <w:rFonts w:ascii="微软雅黑" w:eastAsia="微软雅黑" w:hAnsi="微软雅黑" w:cs="宋体" w:hint="eastAsia"/>
          <w:sz w:val="24"/>
        </w:rPr>
        <w:lastRenderedPageBreak/>
        <w:t>文化设施</w:t>
      </w:r>
      <w:r>
        <w:rPr>
          <w:rFonts w:ascii="微软雅黑" w:eastAsia="微软雅黑" w:hAnsi="微软雅黑" w:cs="宋体" w:hint="eastAsia"/>
          <w:sz w:val="24"/>
        </w:rPr>
        <w:t>配套；与城市设计优化、片区综合交通提升规划与交通详细规划、智慧城市研究、地下空间规划、市政工程规划、中央绿轴景观规划等专项研究团队协同工作，落实产业和城市功能的空间落位、不同功能业态配比等；研究地上地下运营管理界面划分，提出所需导入资源建议和运营管理建议。</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User profiling of prospective enterprise tenants based on strategic positioning of Shenzhen Bay Super Headquarters Base and in-</w:t>
      </w:r>
      <w:r>
        <w:rPr>
          <w:rFonts w:ascii="微软雅黑" w:eastAsia="微软雅黑" w:hAnsi="微软雅黑" w:cs="宋体" w:hint="eastAsia"/>
          <w:sz w:val="22"/>
          <w:szCs w:val="22"/>
        </w:rPr>
        <w:t>depth research of demands from targeted enterprise and users; research on future key development industries, anchored urban programs and public cultural facilities; Collaborating with research team on urban design optimization, comprehensive regional trans</w:t>
      </w:r>
      <w:r>
        <w:rPr>
          <w:rFonts w:ascii="微软雅黑" w:eastAsia="微软雅黑" w:hAnsi="微软雅黑" w:cs="宋体" w:hint="eastAsia"/>
          <w:sz w:val="22"/>
          <w:szCs w:val="22"/>
        </w:rPr>
        <w:t>portation improvement planning and detailed transportation planning, smart cities study, underground space planning, municipal projects planning, central green axis landscape planning, finalizing spatial placement of industries and urban programs, composit</w:t>
      </w:r>
      <w:r>
        <w:rPr>
          <w:rFonts w:ascii="微软雅黑" w:eastAsia="微软雅黑" w:hAnsi="微软雅黑" w:cs="宋体" w:hint="eastAsia"/>
          <w:sz w:val="22"/>
          <w:szCs w:val="22"/>
        </w:rPr>
        <w:t xml:space="preserve">ion ratio of different business formats; Research on aboveground and underground operation and management interface, propose necessary resources and suggestion on operations and managements. </w:t>
      </w:r>
      <w:bookmarkStart w:id="42" w:name="_Toc20605_WPSOffice_Level2"/>
    </w:p>
    <w:p w:rsidR="00F267BB" w:rsidRDefault="00C85F06">
      <w:pPr>
        <w:pStyle w:val="af1"/>
        <w:tabs>
          <w:tab w:val="left" w:pos="1060"/>
        </w:tabs>
        <w:spacing w:afterLines="50" w:after="156" w:line="560" w:lineRule="exact"/>
        <w:ind w:left="420" w:firstLineChars="0" w:firstLine="0"/>
        <w:outlineLvl w:val="0"/>
        <w:rPr>
          <w:rFonts w:ascii="微软雅黑" w:eastAsia="微软雅黑" w:hAnsi="微软雅黑" w:cs="宋体"/>
          <w:b/>
          <w:sz w:val="24"/>
        </w:rPr>
      </w:pPr>
      <w:bookmarkStart w:id="43" w:name="_Toc46"/>
      <w:r>
        <w:rPr>
          <w:rFonts w:ascii="微软雅黑" w:eastAsia="微软雅黑" w:hAnsi="微软雅黑" w:cs="宋体" w:hint="eastAsia"/>
          <w:b/>
          <w:sz w:val="24"/>
        </w:rPr>
        <w:t>（</w:t>
      </w:r>
      <w:r>
        <w:rPr>
          <w:rFonts w:ascii="微软雅黑" w:eastAsia="微软雅黑" w:hAnsi="微软雅黑" w:cs="宋体" w:hint="eastAsia"/>
          <w:b/>
          <w:sz w:val="24"/>
        </w:rPr>
        <w:t>5</w:t>
      </w:r>
      <w:r>
        <w:rPr>
          <w:rFonts w:ascii="微软雅黑" w:eastAsia="微软雅黑" w:hAnsi="微软雅黑" w:cs="宋体" w:hint="eastAsia"/>
          <w:b/>
          <w:sz w:val="24"/>
        </w:rPr>
        <w:t>）中央绿轴、地标地块及地上地下公共区域专项研究</w:t>
      </w:r>
      <w:bookmarkEnd w:id="42"/>
      <w:bookmarkEnd w:id="43"/>
      <w:r>
        <w:rPr>
          <w:rFonts w:ascii="微软雅黑" w:eastAsia="微软雅黑" w:hAnsi="微软雅黑" w:cs="宋体" w:hint="eastAsia"/>
          <w:b/>
          <w:sz w:val="24"/>
        </w:rPr>
        <w:t xml:space="preserve"> </w:t>
      </w:r>
    </w:p>
    <w:p w:rsidR="00F267BB" w:rsidRDefault="00C85F06">
      <w:pPr>
        <w:pStyle w:val="af1"/>
        <w:spacing w:afterLines="50" w:after="156" w:line="560" w:lineRule="exact"/>
        <w:ind w:left="420" w:firstLineChars="0" w:firstLine="0"/>
        <w:outlineLvl w:val="0"/>
        <w:rPr>
          <w:rFonts w:ascii="微软雅黑" w:eastAsia="微软雅黑" w:hAnsi="微软雅黑" w:cs="宋体"/>
          <w:b/>
          <w:sz w:val="22"/>
          <w:szCs w:val="22"/>
        </w:rPr>
      </w:pPr>
      <w:bookmarkStart w:id="44" w:name="_Toc1111"/>
      <w:r>
        <w:rPr>
          <w:rFonts w:ascii="微软雅黑" w:eastAsia="微软雅黑" w:hAnsi="微软雅黑" w:cs="宋体" w:hint="eastAsia"/>
          <w:b/>
          <w:sz w:val="22"/>
          <w:szCs w:val="22"/>
        </w:rPr>
        <w:t>（</w:t>
      </w:r>
      <w:r>
        <w:rPr>
          <w:rFonts w:ascii="微软雅黑" w:eastAsia="微软雅黑" w:hAnsi="微软雅黑" w:cs="宋体" w:hint="eastAsia"/>
          <w:b/>
          <w:sz w:val="22"/>
          <w:szCs w:val="22"/>
        </w:rPr>
        <w:t>5</w:t>
      </w:r>
      <w:r>
        <w:rPr>
          <w:rFonts w:ascii="微软雅黑" w:eastAsia="微软雅黑" w:hAnsi="微软雅黑" w:cs="宋体" w:hint="eastAsia"/>
          <w:b/>
          <w:sz w:val="22"/>
          <w:szCs w:val="22"/>
        </w:rPr>
        <w:t>）</w:t>
      </w:r>
      <w:r>
        <w:rPr>
          <w:rFonts w:ascii="微软雅黑" w:eastAsia="微软雅黑" w:hAnsi="微软雅黑" w:cs="宋体" w:hint="eastAsia"/>
          <w:b/>
          <w:sz w:val="22"/>
          <w:szCs w:val="22"/>
        </w:rPr>
        <w:t xml:space="preserve">Special Research on Central Green </w:t>
      </w:r>
      <w:r>
        <w:rPr>
          <w:rFonts w:ascii="微软雅黑" w:eastAsia="微软雅黑" w:hAnsi="微软雅黑" w:cs="宋体" w:hint="eastAsia"/>
          <w:b/>
          <w:sz w:val="22"/>
          <w:szCs w:val="22"/>
        </w:rPr>
        <w:t>Axis, Landmark Plot and Public Space in Both Aboveground and Underground</w:t>
      </w:r>
      <w:bookmarkEnd w:id="44"/>
      <w:r>
        <w:rPr>
          <w:rFonts w:ascii="微软雅黑" w:eastAsia="微软雅黑" w:hAnsi="微软雅黑" w:cs="宋体" w:hint="eastAsia"/>
          <w:b/>
          <w:sz w:val="22"/>
          <w:szCs w:val="22"/>
        </w:rPr>
        <w:t xml:space="preserve"> </w:t>
      </w:r>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重点分析中央绿轴、地标地块及地上地下公共区域的功能业态，提出文化主题塑造建议；研究中央绿轴等公共区域与周边项目的协同关系，提出开发运营方</w:t>
      </w:r>
      <w:r>
        <w:rPr>
          <w:rFonts w:ascii="微软雅黑" w:eastAsia="微软雅黑" w:hAnsi="微软雅黑" w:cs="宋体" w:hint="eastAsia"/>
          <w:sz w:val="24"/>
        </w:rPr>
        <w:lastRenderedPageBreak/>
        <w:t>案建议，充分发挥其区域带动作用和辐射作用；提供公共空间产权政策建议；提出公共区域及</w:t>
      </w:r>
      <w:r>
        <w:rPr>
          <w:rFonts w:ascii="微软雅黑" w:eastAsia="微软雅黑" w:hAnsi="微软雅黑" w:cs="宋体" w:hint="eastAsia"/>
          <w:sz w:val="24"/>
        </w:rPr>
        <w:t>24</w:t>
      </w:r>
      <w:r>
        <w:rPr>
          <w:rFonts w:ascii="微软雅黑" w:eastAsia="微软雅黑" w:hAnsi="微软雅黑" w:cs="宋体" w:hint="eastAsia"/>
          <w:sz w:val="24"/>
        </w:rPr>
        <w:t>小时街区的实施范围及运营管理建议。</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Key analysis on central green axis, landmark plot and</w:t>
      </w:r>
      <w:r>
        <w:rPr>
          <w:rFonts w:ascii="微软雅黑" w:eastAsia="微软雅黑" w:hAnsi="微软雅黑" w:cs="宋体" w:hint="eastAsia"/>
          <w:sz w:val="22"/>
          <w:szCs w:val="22"/>
        </w:rPr>
        <w:t xml:space="preserve"> public space in both aboveground and underground, with suggestions on shaping cultural features; Research on synergistic relationship between public space, such as the central green axis, and other areas of the project, giving suggestions on development a</w:t>
      </w:r>
      <w:r>
        <w:rPr>
          <w:rFonts w:ascii="微软雅黑" w:eastAsia="微软雅黑" w:hAnsi="微软雅黑" w:cs="宋体" w:hint="eastAsia"/>
          <w:sz w:val="22"/>
          <w:szCs w:val="22"/>
        </w:rPr>
        <w:t xml:space="preserve">nd operation schemes which can optimize its regional influences and regional driven role; Advising on property rights policy on public space; Advising on implementation scope and operations of public area and 24-hr neighborhood. </w:t>
      </w:r>
    </w:p>
    <w:p w:rsidR="00F267BB" w:rsidRDefault="00C85F06">
      <w:pPr>
        <w:pStyle w:val="af1"/>
        <w:tabs>
          <w:tab w:val="left" w:pos="1060"/>
        </w:tabs>
        <w:spacing w:afterLines="50" w:after="156" w:line="560" w:lineRule="exact"/>
        <w:ind w:left="420" w:firstLineChars="0" w:firstLine="0"/>
        <w:outlineLvl w:val="0"/>
        <w:rPr>
          <w:rFonts w:ascii="微软雅黑" w:eastAsia="微软雅黑" w:hAnsi="微软雅黑" w:cs="宋体"/>
          <w:b/>
          <w:sz w:val="24"/>
        </w:rPr>
      </w:pPr>
      <w:bookmarkStart w:id="45" w:name="_Toc28693_WPSOffice_Level2"/>
      <w:bookmarkStart w:id="46" w:name="_Toc18845"/>
      <w:r>
        <w:rPr>
          <w:rFonts w:ascii="微软雅黑" w:eastAsia="微软雅黑" w:hAnsi="微软雅黑" w:cs="宋体" w:hint="eastAsia"/>
          <w:b/>
          <w:sz w:val="24"/>
        </w:rPr>
        <w:t>（</w:t>
      </w:r>
      <w:r>
        <w:rPr>
          <w:rFonts w:ascii="微软雅黑" w:eastAsia="微软雅黑" w:hAnsi="微软雅黑" w:cs="宋体" w:hint="eastAsia"/>
          <w:b/>
          <w:sz w:val="24"/>
        </w:rPr>
        <w:t>6</w:t>
      </w:r>
      <w:r>
        <w:rPr>
          <w:rFonts w:ascii="微软雅黑" w:eastAsia="微软雅黑" w:hAnsi="微软雅黑" w:cs="宋体" w:hint="eastAsia"/>
          <w:b/>
          <w:sz w:val="24"/>
        </w:rPr>
        <w:t>）片区文化、商业发展规划</w:t>
      </w:r>
      <w:bookmarkEnd w:id="45"/>
      <w:bookmarkEnd w:id="46"/>
    </w:p>
    <w:p w:rsidR="00F267BB" w:rsidRDefault="00C85F06">
      <w:pPr>
        <w:pStyle w:val="af1"/>
        <w:spacing w:afterLines="50" w:after="156" w:line="560" w:lineRule="exact"/>
        <w:ind w:left="420" w:firstLineChars="0" w:firstLine="0"/>
        <w:outlineLvl w:val="0"/>
        <w:rPr>
          <w:rFonts w:ascii="微软雅黑" w:eastAsia="微软雅黑" w:hAnsi="微软雅黑" w:cs="宋体"/>
          <w:b/>
          <w:sz w:val="22"/>
          <w:szCs w:val="22"/>
        </w:rPr>
      </w:pPr>
      <w:bookmarkStart w:id="47" w:name="_Toc21940"/>
      <w:r>
        <w:rPr>
          <w:rFonts w:ascii="微软雅黑" w:eastAsia="微软雅黑" w:hAnsi="微软雅黑" w:cs="宋体" w:hint="eastAsia"/>
          <w:b/>
          <w:sz w:val="22"/>
          <w:szCs w:val="22"/>
        </w:rPr>
        <w:t>（</w:t>
      </w:r>
      <w:r>
        <w:rPr>
          <w:rFonts w:ascii="微软雅黑" w:eastAsia="微软雅黑" w:hAnsi="微软雅黑" w:cs="宋体" w:hint="eastAsia"/>
          <w:b/>
          <w:sz w:val="22"/>
          <w:szCs w:val="22"/>
        </w:rPr>
        <w:t>6</w:t>
      </w:r>
      <w:r>
        <w:rPr>
          <w:rFonts w:ascii="微软雅黑" w:eastAsia="微软雅黑" w:hAnsi="微软雅黑" w:cs="宋体" w:hint="eastAsia"/>
          <w:b/>
          <w:sz w:val="22"/>
          <w:szCs w:val="22"/>
        </w:rPr>
        <w:t>）</w:t>
      </w:r>
      <w:r>
        <w:rPr>
          <w:rFonts w:ascii="微软雅黑" w:eastAsia="微软雅黑" w:hAnsi="微软雅黑" w:cs="宋体" w:hint="eastAsia"/>
          <w:b/>
          <w:sz w:val="22"/>
          <w:szCs w:val="22"/>
        </w:rPr>
        <w:t>Planning</w:t>
      </w:r>
      <w:r>
        <w:rPr>
          <w:rFonts w:ascii="微软雅黑" w:eastAsia="微软雅黑" w:hAnsi="微软雅黑" w:cs="宋体" w:hint="eastAsia"/>
          <w:b/>
          <w:sz w:val="22"/>
          <w:szCs w:val="22"/>
        </w:rPr>
        <w:t xml:space="preserve"> on Regional Cultural and Business Development</w:t>
      </w:r>
      <w:bookmarkEnd w:id="47"/>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从片区周边范围、南山区、深圳市乃至粤港澳大湾区整体发展趋势及现状进行分析，统筹考虑本片区的文化、商业布局及运营策略，实现片区内产品类型多元化，形成集聚优势，避免同质化竞争。从片区公共配套服务功能考虑，确定片区文化、商业整体功能定位，包括辐射范畴、服务对象、业态需求、与其他功能区的互补关系；根据服务对象、人流来源，提出布局建议及招商策略。针对片区公共文化建筑提出项目类别、建设规模、运营策略等分析建议；针对已出让及未出</w:t>
      </w:r>
      <w:r>
        <w:rPr>
          <w:rFonts w:ascii="微软雅黑" w:eastAsia="微软雅黑" w:hAnsi="微软雅黑" w:cs="宋体" w:hint="eastAsia"/>
          <w:sz w:val="24"/>
        </w:rPr>
        <w:t>让地块项目，提出其文化及商业建设指标的功能、类别、业态、运营管理等建议，作为单个项目相关设计、审批的参考依据。</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 xml:space="preserve">Analysis of the overall development trend and existing conditions from the surroundings of the site, Nanshan District, Shenzhen City, and </w:t>
      </w:r>
      <w:r>
        <w:rPr>
          <w:rFonts w:ascii="微软雅黑" w:eastAsia="微软雅黑" w:hAnsi="微软雅黑" w:cs="宋体" w:hint="eastAsia"/>
          <w:sz w:val="22"/>
          <w:szCs w:val="22"/>
        </w:rPr>
        <w:lastRenderedPageBreak/>
        <w:t>Guangdong-Hong Kong-Macao Greater Bay Area, Overall considerat</w:t>
      </w:r>
      <w:r>
        <w:rPr>
          <w:rFonts w:ascii="微软雅黑" w:eastAsia="微软雅黑" w:hAnsi="微软雅黑" w:cs="宋体" w:hint="eastAsia"/>
          <w:sz w:val="22"/>
          <w:szCs w:val="22"/>
        </w:rPr>
        <w:t>ion of operational strategies for culture and business distributions, diversifying product types in the region, forming agglomeration advantages and avoiding homogenization competitions. From the perspective of the public supporting programs, positioning c</w:t>
      </w:r>
      <w:r>
        <w:rPr>
          <w:rFonts w:ascii="微软雅黑" w:eastAsia="微软雅黑" w:hAnsi="微软雅黑" w:cs="宋体" w:hint="eastAsia"/>
          <w:sz w:val="22"/>
          <w:szCs w:val="22"/>
        </w:rPr>
        <w:t>ultural and commercial program for this area, including its effective range, service targets, business requirements, and complementary relationship with other programs and areas; Providing strategies on business layout and leasing. Based on assigned and un</w:t>
      </w:r>
      <w:r>
        <w:rPr>
          <w:rFonts w:ascii="微软雅黑" w:eastAsia="微软雅黑" w:hAnsi="微软雅黑" w:cs="宋体" w:hint="eastAsia"/>
          <w:sz w:val="22"/>
          <w:szCs w:val="22"/>
        </w:rPr>
        <w:t>assigned land plots, advising on construction volume quotas related to function, category, format, operation management and etc. of cultural and commercial programs for relevant design and approval reference of each individual design scheme.</w:t>
      </w:r>
    </w:p>
    <w:p w:rsidR="00F267BB" w:rsidRDefault="00C85F06">
      <w:pPr>
        <w:pStyle w:val="af1"/>
        <w:tabs>
          <w:tab w:val="left" w:pos="1060"/>
        </w:tabs>
        <w:spacing w:afterLines="50" w:after="156" w:line="560" w:lineRule="exact"/>
        <w:ind w:left="420" w:firstLineChars="0" w:firstLine="0"/>
        <w:outlineLvl w:val="0"/>
        <w:rPr>
          <w:rFonts w:ascii="微软雅黑" w:eastAsia="微软雅黑" w:hAnsi="微软雅黑" w:cs="宋体"/>
          <w:b/>
          <w:sz w:val="24"/>
        </w:rPr>
      </w:pPr>
      <w:bookmarkStart w:id="48" w:name="_Toc3588_WPSOffice_Level2"/>
      <w:bookmarkStart w:id="49" w:name="_Toc27174"/>
      <w:r>
        <w:rPr>
          <w:rFonts w:ascii="微软雅黑" w:eastAsia="微软雅黑" w:hAnsi="微软雅黑" w:cs="宋体" w:hint="eastAsia"/>
          <w:b/>
          <w:sz w:val="24"/>
        </w:rPr>
        <w:t>（</w:t>
      </w:r>
      <w:r>
        <w:rPr>
          <w:rFonts w:ascii="微软雅黑" w:eastAsia="微软雅黑" w:hAnsi="微软雅黑" w:cs="宋体" w:hint="eastAsia"/>
          <w:b/>
          <w:sz w:val="24"/>
        </w:rPr>
        <w:t>7</w:t>
      </w:r>
      <w:r>
        <w:rPr>
          <w:rFonts w:ascii="微软雅黑" w:eastAsia="微软雅黑" w:hAnsi="微软雅黑" w:cs="宋体" w:hint="eastAsia"/>
          <w:b/>
          <w:sz w:val="24"/>
        </w:rPr>
        <w:t>）片区开发运营实施策略</w:t>
      </w:r>
      <w:bookmarkEnd w:id="48"/>
      <w:bookmarkEnd w:id="49"/>
    </w:p>
    <w:p w:rsidR="00F267BB" w:rsidRDefault="00C85F06" w:rsidP="00677E44">
      <w:pPr>
        <w:pStyle w:val="af1"/>
        <w:spacing w:afterLines="50" w:after="156" w:line="560" w:lineRule="exact"/>
        <w:ind w:left="420" w:firstLineChars="0" w:firstLine="0"/>
        <w:outlineLvl w:val="0"/>
        <w:rPr>
          <w:rFonts w:ascii="微软雅黑" w:eastAsia="微软雅黑" w:hAnsi="微软雅黑" w:cs="宋体"/>
          <w:b/>
          <w:sz w:val="22"/>
          <w:szCs w:val="22"/>
        </w:rPr>
      </w:pPr>
      <w:bookmarkStart w:id="50" w:name="_Toc23900"/>
      <w:r>
        <w:rPr>
          <w:rFonts w:ascii="微软雅黑" w:eastAsia="微软雅黑" w:hAnsi="微软雅黑" w:cs="宋体" w:hint="eastAsia"/>
          <w:b/>
          <w:sz w:val="22"/>
          <w:szCs w:val="22"/>
        </w:rPr>
        <w:t>（</w:t>
      </w:r>
      <w:r>
        <w:rPr>
          <w:rFonts w:ascii="微软雅黑" w:eastAsia="微软雅黑" w:hAnsi="微软雅黑" w:cs="宋体" w:hint="eastAsia"/>
          <w:b/>
          <w:sz w:val="22"/>
          <w:szCs w:val="22"/>
        </w:rPr>
        <w:t>7</w:t>
      </w:r>
      <w:r>
        <w:rPr>
          <w:rFonts w:ascii="微软雅黑" w:eastAsia="微软雅黑" w:hAnsi="微软雅黑" w:cs="宋体" w:hint="eastAsia"/>
          <w:b/>
          <w:sz w:val="22"/>
          <w:szCs w:val="22"/>
        </w:rPr>
        <w:t>）</w:t>
      </w:r>
      <w:r>
        <w:rPr>
          <w:rFonts w:ascii="微软雅黑" w:eastAsia="微软雅黑" w:hAnsi="微软雅黑" w:cs="宋体" w:hint="eastAsia"/>
          <w:b/>
          <w:sz w:val="22"/>
          <w:szCs w:val="22"/>
        </w:rPr>
        <w:t>Implementation Strategies on Regional Development and</w:t>
      </w:r>
      <w:r>
        <w:rPr>
          <w:rFonts w:ascii="微软雅黑" w:eastAsia="微软雅黑" w:hAnsi="微软雅黑" w:cs="宋体" w:hint="eastAsia"/>
          <w:b/>
          <w:sz w:val="22"/>
          <w:szCs w:val="22"/>
        </w:rPr>
        <w:t xml:space="preserve"> </w:t>
      </w:r>
      <w:r>
        <w:rPr>
          <w:rFonts w:ascii="微软雅黑" w:eastAsia="微软雅黑" w:hAnsi="微软雅黑" w:cs="宋体" w:hint="eastAsia"/>
          <w:b/>
          <w:sz w:val="22"/>
          <w:szCs w:val="22"/>
        </w:rPr>
        <w:t>Operations</w:t>
      </w:r>
      <w:bookmarkEnd w:id="50"/>
    </w:p>
    <w:p w:rsidR="00F267BB" w:rsidRDefault="00C85F06">
      <w:pPr>
        <w:pStyle w:val="af1"/>
        <w:spacing w:after="0" w:line="360" w:lineRule="auto"/>
        <w:ind w:firstLine="480"/>
        <w:rPr>
          <w:rFonts w:ascii="微软雅黑" w:eastAsia="微软雅黑" w:hAnsi="微软雅黑" w:cs="宋体"/>
          <w:kern w:val="0"/>
          <w:sz w:val="24"/>
        </w:rPr>
      </w:pPr>
      <w:r>
        <w:rPr>
          <w:rFonts w:ascii="微软雅黑" w:eastAsia="微软雅黑" w:hAnsi="微软雅黑" w:cs="宋体" w:hint="eastAsia"/>
          <w:b/>
          <w:bCs/>
          <w:kern w:val="0"/>
          <w:sz w:val="24"/>
        </w:rPr>
        <w:t>开发模式研究，</w:t>
      </w:r>
      <w:r>
        <w:rPr>
          <w:rFonts w:ascii="微软雅黑" w:eastAsia="微软雅黑" w:hAnsi="微软雅黑" w:cs="宋体" w:hint="eastAsia"/>
          <w:kern w:val="0"/>
          <w:sz w:val="24"/>
        </w:rPr>
        <w:t>通过研究与本片区相类似的国际、国内现有案例开发建设模式，提出政府、市投控公司及入驻企业等在片区统筹开发建设中的角色分工和协作机制。</w:t>
      </w:r>
      <w:r>
        <w:rPr>
          <w:rFonts w:ascii="微软雅黑" w:eastAsia="微软雅黑" w:hAnsi="微软雅黑" w:cs="宋体" w:hint="eastAsia"/>
          <w:b/>
          <w:bCs/>
          <w:kern w:val="0"/>
          <w:sz w:val="24"/>
        </w:rPr>
        <w:t>运营管理策略，</w:t>
      </w:r>
      <w:r>
        <w:rPr>
          <w:rFonts w:ascii="微软雅黑" w:eastAsia="微软雅黑" w:hAnsi="微软雅黑" w:cs="宋体" w:hint="eastAsia"/>
          <w:kern w:val="0"/>
          <w:sz w:val="24"/>
        </w:rPr>
        <w:t>设计多种“</w:t>
      </w:r>
      <w:r>
        <w:rPr>
          <w:rFonts w:ascii="微软雅黑" w:eastAsia="微软雅黑" w:hAnsi="微软雅黑" w:cs="宋体" w:hint="eastAsia"/>
          <w:kern w:val="0"/>
          <w:sz w:val="24"/>
        </w:rPr>
        <w:t>1+N</w:t>
      </w:r>
      <w:r>
        <w:rPr>
          <w:rFonts w:ascii="微软雅黑" w:eastAsia="微软雅黑" w:hAnsi="微软雅黑" w:cs="宋体" w:hint="eastAsia"/>
          <w:kern w:val="0"/>
          <w:sz w:val="24"/>
        </w:rPr>
        <w:t>”国际化的片区运营平台搭建方案，并进行对比分析；结合功能定位、配套服务、招商营运等方面提出片区的运营管理策略，包括但不限于招商服务、营商环境、城市服务等。</w:t>
      </w:r>
      <w:r>
        <w:rPr>
          <w:rFonts w:ascii="微软雅黑" w:eastAsia="微软雅黑" w:hAnsi="微软雅黑" w:cs="宋体" w:hint="eastAsia"/>
          <w:b/>
          <w:bCs/>
          <w:kern w:val="0"/>
          <w:sz w:val="24"/>
        </w:rPr>
        <w:t>机制创新研究，</w:t>
      </w:r>
      <w:r>
        <w:rPr>
          <w:rFonts w:ascii="微软雅黑" w:eastAsia="微软雅黑" w:hAnsi="微软雅黑" w:cs="宋体" w:hint="eastAsia"/>
          <w:kern w:val="0"/>
          <w:sz w:val="24"/>
        </w:rPr>
        <w:t>如土地出让遴选方案和相关标准、多方</w:t>
      </w:r>
      <w:r>
        <w:rPr>
          <w:rFonts w:ascii="微软雅黑" w:eastAsia="微软雅黑" w:hAnsi="微软雅黑" w:cs="宋体" w:hint="eastAsia"/>
          <w:kern w:val="0"/>
          <w:sz w:val="24"/>
        </w:rPr>
        <w:t>资源合作机制创新、招商服务政策创新、规划执行落地保障机制创新等。</w:t>
      </w:r>
      <w:r>
        <w:rPr>
          <w:rFonts w:ascii="微软雅黑" w:eastAsia="微软雅黑" w:hAnsi="微软雅黑" w:cs="宋体" w:hint="eastAsia"/>
          <w:b/>
          <w:bCs/>
          <w:kern w:val="0"/>
          <w:sz w:val="24"/>
        </w:rPr>
        <w:t>开发时序策略</w:t>
      </w:r>
      <w:r>
        <w:rPr>
          <w:rFonts w:ascii="微软雅黑" w:eastAsia="微软雅黑" w:hAnsi="微软雅黑" w:cs="宋体" w:hint="eastAsia"/>
          <w:kern w:val="0"/>
          <w:sz w:val="24"/>
        </w:rPr>
        <w:t>，梳理片区统筹建设内容，提出片区土</w:t>
      </w:r>
      <w:r>
        <w:rPr>
          <w:rFonts w:ascii="微软雅黑" w:eastAsia="微软雅黑" w:hAnsi="微软雅黑" w:cs="宋体" w:hint="eastAsia"/>
          <w:kern w:val="0"/>
          <w:sz w:val="24"/>
        </w:rPr>
        <w:lastRenderedPageBreak/>
        <w:t>地出让、开发时序等策略建议，保证公共系统建设（如地下空间、道路、市政等）与单个地块建设有效衔接，并编制片区十年发展纲要。</w:t>
      </w:r>
    </w:p>
    <w:p w:rsidR="00F267BB" w:rsidRDefault="00C85F06">
      <w:pPr>
        <w:pStyle w:val="af1"/>
        <w:spacing w:after="0" w:line="360" w:lineRule="auto"/>
        <w:ind w:firstLine="440"/>
        <w:rPr>
          <w:rFonts w:ascii="微软雅黑" w:eastAsia="微软雅黑" w:hAnsi="微软雅黑" w:cs="宋体"/>
          <w:kern w:val="0"/>
          <w:sz w:val="22"/>
          <w:szCs w:val="22"/>
        </w:rPr>
      </w:pPr>
      <w:r>
        <w:rPr>
          <w:rFonts w:ascii="微软雅黑" w:eastAsia="微软雅黑" w:hAnsi="微软雅黑" w:cs="Arial"/>
          <w:b/>
          <w:bCs/>
          <w:sz w:val="22"/>
          <w:szCs w:val="22"/>
        </w:rPr>
        <w:t>Development Models Research</w:t>
      </w:r>
      <w:r>
        <w:rPr>
          <w:rFonts w:ascii="微软雅黑" w:eastAsia="微软雅黑" w:hAnsi="微软雅黑" w:cs="Arial"/>
          <w:sz w:val="22"/>
          <w:szCs w:val="22"/>
        </w:rPr>
        <w:t>: Based on case study of development mode of similar global and domestic developments, propose role divisions and collaboration mechanisms between government entity, Shenzhen Investment Holdings Co., Ltd. and prospective enterprise tenants in this regional</w:t>
      </w:r>
      <w:r>
        <w:rPr>
          <w:rFonts w:ascii="微软雅黑" w:eastAsia="微软雅黑" w:hAnsi="微软雅黑" w:cs="Arial"/>
          <w:sz w:val="22"/>
          <w:szCs w:val="22"/>
        </w:rPr>
        <w:t xml:space="preserve"> development. </w:t>
      </w:r>
      <w:r>
        <w:rPr>
          <w:rFonts w:ascii="微软雅黑" w:eastAsia="微软雅黑" w:hAnsi="微软雅黑" w:cs="Arial"/>
          <w:b/>
          <w:bCs/>
          <w:sz w:val="22"/>
          <w:szCs w:val="22"/>
        </w:rPr>
        <w:t>Operation and Management Strategies</w:t>
      </w:r>
      <w:r>
        <w:rPr>
          <w:rFonts w:ascii="微软雅黑" w:eastAsia="微软雅黑" w:hAnsi="微软雅黑" w:cs="Arial"/>
          <w:sz w:val="22"/>
          <w:szCs w:val="22"/>
        </w:rPr>
        <w:t>: Design and compare multiple “1+N” global platform construction solutions on regional operations; Propose strategies on regional operations and managements in program positionings, supporting services and l</w:t>
      </w:r>
      <w:r>
        <w:rPr>
          <w:rFonts w:ascii="微软雅黑" w:eastAsia="微软雅黑" w:hAnsi="微软雅黑" w:cs="Arial"/>
          <w:sz w:val="22"/>
          <w:szCs w:val="22"/>
        </w:rPr>
        <w:t xml:space="preserve">easing and operations, including but not limiting to leasing services, business environment, city services etc. </w:t>
      </w:r>
      <w:r>
        <w:rPr>
          <w:rFonts w:ascii="微软雅黑" w:eastAsia="微软雅黑" w:hAnsi="微软雅黑" w:cs="Arial"/>
          <w:b/>
          <w:bCs/>
          <w:sz w:val="22"/>
          <w:szCs w:val="22"/>
        </w:rPr>
        <w:t>Mechanism Innovation Research</w:t>
      </w:r>
      <w:r>
        <w:rPr>
          <w:rFonts w:ascii="微软雅黑" w:eastAsia="微软雅黑" w:hAnsi="微软雅黑" w:cs="Arial"/>
          <w:sz w:val="22"/>
          <w:szCs w:val="22"/>
        </w:rPr>
        <w:t>: Includes but not limits to land transfer selection plan and related standards, innovation on collaboration mechan</w:t>
      </w:r>
      <w:r>
        <w:rPr>
          <w:rFonts w:ascii="微软雅黑" w:eastAsia="微软雅黑" w:hAnsi="微软雅黑" w:cs="Arial"/>
          <w:sz w:val="22"/>
          <w:szCs w:val="22"/>
        </w:rPr>
        <w:t xml:space="preserve">ism between multiple contributors, innovation on investment service policy, innovation on planning implementation mechanism etc. </w:t>
      </w:r>
      <w:r>
        <w:rPr>
          <w:rFonts w:ascii="微软雅黑" w:eastAsia="微软雅黑" w:hAnsi="微软雅黑" w:cs="Arial"/>
          <w:b/>
          <w:bCs/>
          <w:sz w:val="22"/>
          <w:szCs w:val="22"/>
        </w:rPr>
        <w:t xml:space="preserve">Development Sequence Strategies: </w:t>
      </w:r>
      <w:r>
        <w:rPr>
          <w:rFonts w:ascii="微软雅黑" w:eastAsia="微软雅黑" w:hAnsi="微软雅黑" w:cs="Arial"/>
          <w:sz w:val="22"/>
          <w:szCs w:val="22"/>
        </w:rPr>
        <w:t xml:space="preserve">sort out overall development contents of this region, advise on </w:t>
      </w:r>
      <w:r>
        <w:rPr>
          <w:rFonts w:ascii="微软雅黑" w:eastAsia="微软雅黑" w:hAnsi="微软雅黑" w:cs="Arial" w:hint="eastAsia"/>
          <w:sz w:val="22"/>
          <w:szCs w:val="22"/>
        </w:rPr>
        <w:t>land assi</w:t>
      </w:r>
      <w:r>
        <w:rPr>
          <w:rFonts w:ascii="微软雅黑" w:eastAsia="微软雅黑" w:hAnsi="微软雅黑" w:cs="宋体" w:hint="eastAsia"/>
          <w:sz w:val="22"/>
          <w:szCs w:val="22"/>
        </w:rPr>
        <w:t xml:space="preserve">gnment and </w:t>
      </w:r>
      <w:r>
        <w:rPr>
          <w:rFonts w:ascii="微软雅黑" w:eastAsia="微软雅黑" w:hAnsi="微软雅黑" w:cs="Arial"/>
          <w:sz w:val="22"/>
          <w:szCs w:val="22"/>
        </w:rPr>
        <w:t>developmen</w:t>
      </w:r>
      <w:r>
        <w:rPr>
          <w:rFonts w:ascii="微软雅黑" w:eastAsia="微软雅黑" w:hAnsi="微软雅黑" w:cs="Arial"/>
          <w:sz w:val="22"/>
          <w:szCs w:val="22"/>
        </w:rPr>
        <w:t xml:space="preserve">t sequence and strategy, ensure smooth transition between infrastructure construction (underground space, roadworks and municipal projects) and individual plots, and prepare 10-year development plan for the region. </w:t>
      </w:r>
    </w:p>
    <w:p w:rsidR="00F267BB" w:rsidRDefault="00C85F06">
      <w:pPr>
        <w:pStyle w:val="af1"/>
        <w:tabs>
          <w:tab w:val="left" w:pos="1060"/>
        </w:tabs>
        <w:spacing w:afterLines="50" w:after="156" w:line="560" w:lineRule="exact"/>
        <w:ind w:left="420" w:firstLineChars="0" w:firstLine="0"/>
        <w:outlineLvl w:val="0"/>
        <w:rPr>
          <w:rFonts w:ascii="微软雅黑" w:eastAsia="微软雅黑" w:hAnsi="微软雅黑" w:cs="宋体"/>
          <w:b/>
          <w:sz w:val="24"/>
        </w:rPr>
      </w:pPr>
      <w:bookmarkStart w:id="51" w:name="_Toc6339_WPSOffice_Level2"/>
      <w:bookmarkStart w:id="52" w:name="_Toc8713"/>
      <w:r>
        <w:rPr>
          <w:rFonts w:ascii="微软雅黑" w:eastAsia="微软雅黑" w:hAnsi="微软雅黑" w:cs="宋体" w:hint="eastAsia"/>
          <w:b/>
          <w:sz w:val="24"/>
        </w:rPr>
        <w:t>（</w:t>
      </w:r>
      <w:r>
        <w:rPr>
          <w:rFonts w:ascii="微软雅黑" w:eastAsia="微软雅黑" w:hAnsi="微软雅黑" w:cs="宋体" w:hint="eastAsia"/>
          <w:b/>
          <w:sz w:val="24"/>
        </w:rPr>
        <w:t>8</w:t>
      </w:r>
      <w:r>
        <w:rPr>
          <w:rFonts w:ascii="微软雅黑" w:eastAsia="微软雅黑" w:hAnsi="微软雅黑" w:cs="宋体" w:hint="eastAsia"/>
          <w:b/>
          <w:sz w:val="24"/>
        </w:rPr>
        <w:t>）片区财务测算</w:t>
      </w:r>
      <w:bookmarkEnd w:id="51"/>
      <w:bookmarkEnd w:id="52"/>
    </w:p>
    <w:p w:rsidR="00F267BB" w:rsidRDefault="00C85F06">
      <w:pPr>
        <w:pStyle w:val="af1"/>
        <w:spacing w:afterLines="50" w:after="156" w:line="560" w:lineRule="exact"/>
        <w:ind w:left="420" w:firstLineChars="0" w:firstLine="0"/>
        <w:outlineLvl w:val="0"/>
        <w:rPr>
          <w:rFonts w:ascii="微软雅黑" w:eastAsia="微软雅黑" w:hAnsi="微软雅黑" w:cs="宋体"/>
          <w:b/>
          <w:sz w:val="22"/>
          <w:szCs w:val="22"/>
        </w:rPr>
      </w:pPr>
      <w:bookmarkStart w:id="53" w:name="_Toc10567"/>
      <w:r>
        <w:rPr>
          <w:rFonts w:ascii="微软雅黑" w:eastAsia="微软雅黑" w:hAnsi="微软雅黑" w:cs="宋体" w:hint="eastAsia"/>
          <w:b/>
          <w:sz w:val="22"/>
          <w:szCs w:val="22"/>
        </w:rPr>
        <w:lastRenderedPageBreak/>
        <w:t>（</w:t>
      </w:r>
      <w:r>
        <w:rPr>
          <w:rFonts w:ascii="微软雅黑" w:eastAsia="微软雅黑" w:hAnsi="微软雅黑" w:cs="宋体" w:hint="eastAsia"/>
          <w:b/>
          <w:sz w:val="22"/>
          <w:szCs w:val="22"/>
        </w:rPr>
        <w:t>8</w:t>
      </w:r>
      <w:r>
        <w:rPr>
          <w:rFonts w:ascii="微软雅黑" w:eastAsia="微软雅黑" w:hAnsi="微软雅黑" w:cs="宋体" w:hint="eastAsia"/>
          <w:b/>
          <w:sz w:val="22"/>
          <w:szCs w:val="22"/>
        </w:rPr>
        <w:t>）</w:t>
      </w:r>
      <w:r>
        <w:rPr>
          <w:rFonts w:ascii="微软雅黑" w:eastAsia="微软雅黑" w:hAnsi="微软雅黑" w:cs="宋体" w:hint="eastAsia"/>
          <w:b/>
          <w:sz w:val="22"/>
          <w:szCs w:val="22"/>
        </w:rPr>
        <w:t xml:space="preserve">Financial Projection of </w:t>
      </w:r>
      <w:r>
        <w:rPr>
          <w:rFonts w:ascii="微软雅黑" w:eastAsia="微软雅黑" w:hAnsi="微软雅黑" w:cs="宋体" w:hint="eastAsia"/>
          <w:b/>
          <w:sz w:val="22"/>
          <w:szCs w:val="22"/>
        </w:rPr>
        <w:t>Regional Development</w:t>
      </w:r>
      <w:bookmarkEnd w:id="53"/>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建立产业经济测算模型，预测整个片区的产值、税收、就业、科研等不同维度的产出情况，测算片区整体的产业经济效益和社会效益</w:t>
      </w:r>
      <w:r>
        <w:rPr>
          <w:rFonts w:ascii="微软雅黑" w:eastAsia="微软雅黑" w:hAnsi="微软雅黑" w:cs="宋体" w:hint="eastAsia"/>
          <w:sz w:val="24"/>
        </w:rPr>
        <w:t>;</w:t>
      </w:r>
      <w:r>
        <w:rPr>
          <w:rFonts w:ascii="微软雅黑" w:eastAsia="微软雅黑" w:hAnsi="微软雅黑" w:cs="宋体" w:hint="eastAsia"/>
          <w:sz w:val="24"/>
        </w:rPr>
        <w:t>根据项目综合开发方案，建立基础设施、公共配套及核心项目财务测算模型，对项目开发的经济成本和预期收益进行测算，分析政府和开发企业的经济成本和收益情况。</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Establish financial model for industrial economy, forecasting financial output from production, taxat</w:t>
      </w:r>
      <w:r>
        <w:rPr>
          <w:rFonts w:ascii="微软雅黑" w:eastAsia="微软雅黑" w:hAnsi="微软雅黑" w:cs="宋体" w:hint="eastAsia"/>
          <w:sz w:val="22"/>
          <w:szCs w:val="22"/>
        </w:rPr>
        <w:t>ion, employment, research etc., measure the industrial economic benefits and social benefits of the area; establish financial projection models for infrastructure development, public services and core development projects, cost-benefit analysis for project</w:t>
      </w:r>
      <w:r>
        <w:rPr>
          <w:rFonts w:ascii="微软雅黑" w:eastAsia="微软雅黑" w:hAnsi="微软雅黑" w:cs="宋体" w:hint="eastAsia"/>
          <w:sz w:val="22"/>
          <w:szCs w:val="22"/>
        </w:rPr>
        <w:t xml:space="preserve"> developments, and cost-benefit analysis for government and developer. </w:t>
      </w:r>
    </w:p>
    <w:p w:rsidR="00F267BB" w:rsidRDefault="00F267BB">
      <w:pPr>
        <w:spacing w:afterLines="50" w:after="156" w:line="560" w:lineRule="exact"/>
        <w:ind w:firstLineChars="177" w:firstLine="389"/>
        <w:rPr>
          <w:rFonts w:ascii="微软雅黑" w:eastAsia="微软雅黑" w:hAnsi="微软雅黑" w:cs="宋体"/>
          <w:sz w:val="22"/>
          <w:szCs w:val="22"/>
        </w:rPr>
      </w:pPr>
    </w:p>
    <w:p w:rsidR="00F267BB" w:rsidRDefault="00C85F06">
      <w:pPr>
        <w:pStyle w:val="af1"/>
        <w:numPr>
          <w:ilvl w:val="0"/>
          <w:numId w:val="2"/>
        </w:numPr>
        <w:spacing w:afterLines="50" w:after="156" w:line="560" w:lineRule="exact"/>
        <w:ind w:left="0" w:firstLineChars="177" w:firstLine="496"/>
        <w:outlineLvl w:val="0"/>
        <w:rPr>
          <w:rFonts w:ascii="微软雅黑" w:eastAsia="微软雅黑" w:hAnsi="微软雅黑" w:cs="宋体"/>
          <w:b/>
          <w:sz w:val="28"/>
          <w:szCs w:val="28"/>
        </w:rPr>
      </w:pPr>
      <w:bookmarkStart w:id="54" w:name="_Toc17197"/>
      <w:r>
        <w:rPr>
          <w:rFonts w:ascii="微软雅黑" w:eastAsia="微软雅黑" w:hAnsi="微软雅黑" w:cs="宋体" w:hint="eastAsia"/>
          <w:b/>
          <w:sz w:val="28"/>
          <w:szCs w:val="28"/>
        </w:rPr>
        <w:t>成果构成</w:t>
      </w:r>
      <w:bookmarkEnd w:id="4"/>
      <w:bookmarkEnd w:id="54"/>
    </w:p>
    <w:p w:rsidR="00F267BB" w:rsidRDefault="00C85F06">
      <w:pPr>
        <w:pStyle w:val="af1"/>
        <w:spacing w:afterLines="50" w:after="156" w:line="560" w:lineRule="exact"/>
        <w:ind w:left="420" w:firstLineChars="0" w:firstLine="0"/>
        <w:outlineLvl w:val="0"/>
        <w:rPr>
          <w:rFonts w:ascii="微软雅黑" w:eastAsia="微软雅黑" w:hAnsi="微软雅黑" w:cs="宋体"/>
          <w:b/>
          <w:sz w:val="28"/>
          <w:szCs w:val="28"/>
        </w:rPr>
      </w:pPr>
      <w:bookmarkStart w:id="55" w:name="_Toc6217"/>
      <w:r>
        <w:rPr>
          <w:rFonts w:ascii="微软雅黑" w:eastAsia="微软雅黑" w:hAnsi="微软雅黑" w:cs="宋体" w:hint="eastAsia"/>
          <w:b/>
          <w:sz w:val="28"/>
          <w:szCs w:val="28"/>
        </w:rPr>
        <w:t>Ⅴ</w:t>
      </w:r>
      <w:r>
        <w:rPr>
          <w:rFonts w:ascii="微软雅黑" w:eastAsia="微软雅黑" w:hAnsi="微软雅黑" w:cs="宋体" w:hint="eastAsia"/>
          <w:b/>
          <w:sz w:val="28"/>
          <w:szCs w:val="28"/>
        </w:rPr>
        <w:t xml:space="preserve">. </w:t>
      </w:r>
      <w:r>
        <w:rPr>
          <w:rFonts w:ascii="微软雅黑" w:eastAsia="微软雅黑" w:hAnsi="微软雅黑" w:cs="宋体" w:hint="eastAsia"/>
          <w:b/>
          <w:sz w:val="28"/>
          <w:szCs w:val="28"/>
        </w:rPr>
        <w:t>Project Submissions</w:t>
      </w:r>
      <w:bookmarkEnd w:id="55"/>
      <w:r>
        <w:rPr>
          <w:rFonts w:ascii="微软雅黑" w:eastAsia="微软雅黑" w:hAnsi="微软雅黑" w:cs="宋体" w:hint="eastAsia"/>
          <w:b/>
          <w:sz w:val="28"/>
          <w:szCs w:val="28"/>
        </w:rPr>
        <w:t xml:space="preserve"> </w:t>
      </w:r>
    </w:p>
    <w:p w:rsidR="00F267BB" w:rsidRDefault="00C85F06">
      <w:pPr>
        <w:pStyle w:val="af1"/>
        <w:tabs>
          <w:tab w:val="left" w:pos="1060"/>
        </w:tabs>
        <w:spacing w:afterLines="50" w:after="156" w:line="560" w:lineRule="exact"/>
        <w:ind w:left="420" w:firstLineChars="0" w:firstLine="0"/>
        <w:outlineLvl w:val="0"/>
        <w:rPr>
          <w:rFonts w:ascii="微软雅黑" w:eastAsia="微软雅黑" w:hAnsi="微软雅黑" w:cs="宋体"/>
          <w:b/>
          <w:sz w:val="24"/>
        </w:rPr>
      </w:pPr>
      <w:bookmarkStart w:id="56" w:name="_Toc359_WPSOffice_Level2"/>
      <w:bookmarkStart w:id="57" w:name="_Toc23419"/>
      <w:bookmarkEnd w:id="5"/>
      <w:r>
        <w:rPr>
          <w:rFonts w:ascii="微软雅黑" w:eastAsia="微软雅黑" w:hAnsi="微软雅黑" w:cs="宋体" w:hint="eastAsia"/>
          <w:b/>
          <w:sz w:val="24"/>
        </w:rPr>
        <w:t>（</w:t>
      </w:r>
      <w:r>
        <w:rPr>
          <w:rFonts w:ascii="微软雅黑" w:eastAsia="微软雅黑" w:hAnsi="微软雅黑" w:cs="宋体" w:hint="eastAsia"/>
          <w:b/>
          <w:sz w:val="24"/>
        </w:rPr>
        <w:t>1</w:t>
      </w:r>
      <w:r>
        <w:rPr>
          <w:rFonts w:ascii="微软雅黑" w:eastAsia="微软雅黑" w:hAnsi="微软雅黑" w:cs="宋体" w:hint="eastAsia"/>
          <w:b/>
          <w:sz w:val="24"/>
        </w:rPr>
        <w:t>）提案编制成果（明标）</w:t>
      </w:r>
      <w:bookmarkEnd w:id="56"/>
      <w:bookmarkEnd w:id="57"/>
    </w:p>
    <w:p w:rsidR="00F267BB" w:rsidRDefault="00C85F06">
      <w:pPr>
        <w:pStyle w:val="af1"/>
        <w:spacing w:afterLines="50" w:after="156" w:line="560" w:lineRule="exact"/>
        <w:ind w:left="420" w:firstLineChars="0" w:firstLine="0"/>
        <w:outlineLvl w:val="0"/>
        <w:rPr>
          <w:rFonts w:ascii="微软雅黑" w:eastAsia="微软雅黑" w:hAnsi="微软雅黑" w:cs="宋体"/>
          <w:b/>
          <w:sz w:val="22"/>
          <w:szCs w:val="22"/>
        </w:rPr>
      </w:pPr>
      <w:bookmarkStart w:id="58" w:name="_Toc2434"/>
      <w:r>
        <w:rPr>
          <w:rFonts w:ascii="微软雅黑" w:eastAsia="微软雅黑" w:hAnsi="微软雅黑" w:cs="宋体" w:hint="eastAsia"/>
          <w:b/>
          <w:sz w:val="22"/>
          <w:szCs w:val="22"/>
        </w:rPr>
        <w:t>（</w:t>
      </w:r>
      <w:r>
        <w:rPr>
          <w:rFonts w:ascii="微软雅黑" w:eastAsia="微软雅黑" w:hAnsi="微软雅黑" w:cs="宋体" w:hint="eastAsia"/>
          <w:b/>
          <w:sz w:val="22"/>
          <w:szCs w:val="22"/>
        </w:rPr>
        <w:t>1</w:t>
      </w:r>
      <w:r>
        <w:rPr>
          <w:rFonts w:ascii="微软雅黑" w:eastAsia="微软雅黑" w:hAnsi="微软雅黑" w:cs="宋体" w:hint="eastAsia"/>
          <w:b/>
          <w:sz w:val="22"/>
          <w:szCs w:val="22"/>
        </w:rPr>
        <w:t>）</w:t>
      </w:r>
      <w:r>
        <w:rPr>
          <w:rFonts w:ascii="微软雅黑" w:eastAsia="微软雅黑" w:hAnsi="微软雅黑" w:cs="宋体" w:hint="eastAsia"/>
          <w:b/>
          <w:sz w:val="22"/>
          <w:szCs w:val="22"/>
        </w:rPr>
        <w:t>Project proposal(open bid)</w:t>
      </w:r>
      <w:bookmarkEnd w:id="58"/>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根据粤港澳大湾区发展规划、深圳市功能定位和发展形势，结合深圳湾超级总部基地实际情况，以及本次国际咨询工作内容要求，提案编制成果应包括但不限于以下方面（格式自定）：</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According to the development</w:t>
      </w:r>
      <w:r>
        <w:rPr>
          <w:rFonts w:ascii="微软雅黑" w:eastAsia="微软雅黑" w:hAnsi="微软雅黑" w:cs="宋体" w:hint="eastAsia"/>
          <w:sz w:val="22"/>
          <w:szCs w:val="22"/>
        </w:rPr>
        <w:t xml:space="preserve"> plan of the Guangdong-Hong Kong-Macao Greater Bay Area, the functional orientation and development situation of </w:t>
      </w:r>
      <w:r>
        <w:rPr>
          <w:rFonts w:ascii="微软雅黑" w:eastAsia="微软雅黑" w:hAnsi="微软雅黑" w:cs="宋体" w:hint="eastAsia"/>
          <w:sz w:val="22"/>
          <w:szCs w:val="22"/>
        </w:rPr>
        <w:lastRenderedPageBreak/>
        <w:t>Shenzhen, the actual situation of Shenzhen Bay Super Headquarters Base and the work Contents of this international consultation, the results of</w:t>
      </w:r>
      <w:r>
        <w:rPr>
          <w:rFonts w:ascii="微软雅黑" w:eastAsia="微软雅黑" w:hAnsi="微软雅黑" w:cs="宋体" w:hint="eastAsia"/>
          <w:sz w:val="22"/>
          <w:szCs w:val="22"/>
        </w:rPr>
        <w:t xml:space="preserve"> the project proposal should include but not limit to the following contents (the format to be determined by the consulting firm):</w:t>
      </w:r>
    </w:p>
    <w:p w:rsidR="00F267BB" w:rsidRDefault="00C85F06">
      <w:pPr>
        <w:spacing w:after="0" w:line="360" w:lineRule="auto"/>
        <w:ind w:firstLineChars="200" w:firstLine="480"/>
        <w:rPr>
          <w:rFonts w:ascii="微软雅黑" w:eastAsia="微软雅黑" w:hAnsi="微软雅黑" w:cs="宋体"/>
          <w:sz w:val="24"/>
        </w:rPr>
      </w:pPr>
      <w:bookmarkStart w:id="59" w:name="_Toc4018_WPSOffice_Level2"/>
      <w:r>
        <w:rPr>
          <w:rFonts w:ascii="微软雅黑" w:eastAsia="微软雅黑" w:hAnsi="微软雅黑" w:cs="宋体" w:hint="eastAsia"/>
          <w:sz w:val="24"/>
        </w:rPr>
        <w:t>1)</w:t>
      </w:r>
      <w:r>
        <w:rPr>
          <w:rFonts w:ascii="微软雅黑" w:eastAsia="微软雅黑" w:hAnsi="微软雅黑" w:cs="宋体" w:hint="eastAsia"/>
          <w:sz w:val="24"/>
        </w:rPr>
        <w:t>对项目的理解；</w:t>
      </w:r>
      <w:r>
        <w:rPr>
          <w:rFonts w:ascii="微软雅黑" w:eastAsia="微软雅黑" w:hAnsi="微软雅黑" w:cs="宋体" w:hint="eastAsia"/>
          <w:sz w:val="24"/>
        </w:rPr>
        <w:t xml:space="preserve"> </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1</w:t>
      </w:r>
      <w:r>
        <w:rPr>
          <w:rFonts w:ascii="微软雅黑" w:eastAsia="微软雅黑" w:hAnsi="微软雅黑" w:cs="宋体" w:hint="eastAsia"/>
          <w:sz w:val="22"/>
          <w:szCs w:val="22"/>
        </w:rPr>
        <w:t>）</w:t>
      </w:r>
      <w:r>
        <w:rPr>
          <w:rFonts w:ascii="微软雅黑" w:eastAsia="微软雅黑" w:hAnsi="微软雅黑" w:cs="宋体" w:hint="eastAsia"/>
          <w:sz w:val="22"/>
          <w:szCs w:val="22"/>
        </w:rPr>
        <w:t>Understanding of the Project;</w:t>
      </w:r>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2</w:t>
      </w:r>
      <w:r>
        <w:rPr>
          <w:rFonts w:ascii="微软雅黑" w:eastAsia="微软雅黑" w:hAnsi="微软雅黑" w:cs="宋体" w:hint="eastAsia"/>
          <w:sz w:val="24"/>
        </w:rPr>
        <w:t>）对工作任务及工作目标的理解；</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2)Understanding of the work tasks and objectives;</w:t>
      </w:r>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3</w:t>
      </w:r>
      <w:r>
        <w:rPr>
          <w:rFonts w:ascii="微软雅黑" w:eastAsia="微软雅黑" w:hAnsi="微软雅黑" w:cs="宋体" w:hint="eastAsia"/>
          <w:sz w:val="24"/>
        </w:rPr>
        <w:t>）工作方案；</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3</w:t>
      </w:r>
      <w:r>
        <w:rPr>
          <w:rFonts w:ascii="微软雅黑" w:eastAsia="微软雅黑" w:hAnsi="微软雅黑" w:cs="宋体" w:hint="eastAsia"/>
          <w:sz w:val="22"/>
          <w:szCs w:val="22"/>
        </w:rPr>
        <w:t>）</w:t>
      </w:r>
      <w:r>
        <w:rPr>
          <w:rFonts w:ascii="微软雅黑" w:eastAsia="微软雅黑" w:hAnsi="微软雅黑" w:cs="宋体" w:hint="eastAsia"/>
          <w:sz w:val="22"/>
          <w:szCs w:val="22"/>
        </w:rPr>
        <w:t xml:space="preserve">Work </w:t>
      </w:r>
      <w:r>
        <w:rPr>
          <w:rFonts w:ascii="微软雅黑" w:eastAsia="微软雅黑" w:hAnsi="微软雅黑" w:cs="宋体" w:hint="eastAsia"/>
          <w:sz w:val="22"/>
          <w:szCs w:val="22"/>
        </w:rPr>
        <w:t>proposal;</w:t>
      </w:r>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4</w:t>
      </w:r>
      <w:r>
        <w:rPr>
          <w:rFonts w:ascii="微软雅黑" w:eastAsia="微软雅黑" w:hAnsi="微软雅黑" w:cs="宋体" w:hint="eastAsia"/>
          <w:sz w:val="24"/>
        </w:rPr>
        <w:t>）团队服务能力；</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4</w:t>
      </w:r>
      <w:r>
        <w:rPr>
          <w:rFonts w:ascii="微软雅黑" w:eastAsia="微软雅黑" w:hAnsi="微软雅黑" w:cs="宋体" w:hint="eastAsia"/>
          <w:sz w:val="22"/>
          <w:szCs w:val="22"/>
        </w:rPr>
        <w:t>）</w:t>
      </w:r>
      <w:r>
        <w:rPr>
          <w:rFonts w:ascii="微软雅黑" w:eastAsia="微软雅黑" w:hAnsi="微软雅黑" w:cs="宋体" w:hint="eastAsia"/>
          <w:sz w:val="22"/>
          <w:szCs w:val="22"/>
        </w:rPr>
        <w:t>Team performance;</w:t>
      </w:r>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5</w:t>
      </w:r>
      <w:r>
        <w:rPr>
          <w:rFonts w:ascii="微软雅黑" w:eastAsia="微软雅黑" w:hAnsi="微软雅黑" w:cs="宋体" w:hint="eastAsia"/>
          <w:sz w:val="24"/>
        </w:rPr>
        <w:t>）进度计划；</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5</w:t>
      </w:r>
      <w:r>
        <w:rPr>
          <w:rFonts w:ascii="微软雅黑" w:eastAsia="微软雅黑" w:hAnsi="微软雅黑" w:cs="宋体" w:hint="eastAsia"/>
          <w:sz w:val="22"/>
          <w:szCs w:val="22"/>
        </w:rPr>
        <w:t>）</w:t>
      </w:r>
      <w:r>
        <w:rPr>
          <w:rFonts w:ascii="微软雅黑" w:eastAsia="微软雅黑" w:hAnsi="微软雅黑" w:cs="宋体" w:hint="eastAsia"/>
          <w:sz w:val="22"/>
          <w:szCs w:val="22"/>
        </w:rPr>
        <w:t>Proposal schedule;</w:t>
      </w:r>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6</w:t>
      </w:r>
      <w:r>
        <w:rPr>
          <w:rFonts w:ascii="微软雅黑" w:eastAsia="微软雅黑" w:hAnsi="微软雅黑" w:cs="宋体" w:hint="eastAsia"/>
          <w:sz w:val="24"/>
        </w:rPr>
        <w:t>）服务承诺；</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6</w:t>
      </w:r>
      <w:r>
        <w:rPr>
          <w:rFonts w:ascii="微软雅黑" w:eastAsia="微软雅黑" w:hAnsi="微软雅黑" w:cs="宋体" w:hint="eastAsia"/>
          <w:sz w:val="22"/>
          <w:szCs w:val="22"/>
        </w:rPr>
        <w:t>）</w:t>
      </w:r>
      <w:r>
        <w:rPr>
          <w:rFonts w:ascii="微软雅黑" w:eastAsia="微软雅黑" w:hAnsi="微软雅黑" w:cs="宋体" w:hint="eastAsia"/>
          <w:sz w:val="22"/>
          <w:szCs w:val="22"/>
        </w:rPr>
        <w:t>Service Commitment;</w:t>
      </w:r>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7</w:t>
      </w:r>
      <w:r>
        <w:rPr>
          <w:rFonts w:ascii="微软雅黑" w:eastAsia="微软雅黑" w:hAnsi="微软雅黑" w:cs="宋体" w:hint="eastAsia"/>
          <w:sz w:val="24"/>
        </w:rPr>
        <w:t>）投标人认为对投标有利的其他资料。</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7</w:t>
      </w:r>
      <w:r>
        <w:rPr>
          <w:rFonts w:ascii="微软雅黑" w:eastAsia="微软雅黑" w:hAnsi="微软雅黑" w:cs="宋体" w:hint="eastAsia"/>
          <w:sz w:val="22"/>
          <w:szCs w:val="22"/>
        </w:rPr>
        <w:t>）</w:t>
      </w:r>
      <w:r>
        <w:rPr>
          <w:rFonts w:ascii="微软雅黑" w:eastAsia="微软雅黑" w:hAnsi="微软雅黑" w:cs="宋体" w:hint="eastAsia"/>
          <w:sz w:val="22"/>
          <w:szCs w:val="22"/>
        </w:rPr>
        <w:t>Other materials deemed useful by the bidder.</w:t>
      </w:r>
    </w:p>
    <w:p w:rsidR="00F267BB" w:rsidRDefault="00C85F06">
      <w:pPr>
        <w:pStyle w:val="af1"/>
        <w:tabs>
          <w:tab w:val="left" w:pos="1060"/>
        </w:tabs>
        <w:spacing w:afterLines="50" w:after="156" w:line="560" w:lineRule="exact"/>
        <w:ind w:left="420" w:firstLineChars="0" w:firstLine="0"/>
        <w:outlineLvl w:val="0"/>
        <w:rPr>
          <w:rFonts w:ascii="微软雅黑" w:eastAsia="微软雅黑" w:hAnsi="微软雅黑" w:cs="宋体"/>
          <w:b/>
          <w:sz w:val="24"/>
        </w:rPr>
      </w:pPr>
      <w:bookmarkStart w:id="60" w:name="_Toc6915"/>
      <w:bookmarkEnd w:id="59"/>
      <w:r>
        <w:rPr>
          <w:rFonts w:ascii="微软雅黑" w:eastAsia="微软雅黑" w:hAnsi="微软雅黑" w:cs="宋体" w:hint="eastAsia"/>
          <w:b/>
          <w:sz w:val="24"/>
        </w:rPr>
        <w:t>（</w:t>
      </w:r>
      <w:r>
        <w:rPr>
          <w:rFonts w:ascii="微软雅黑" w:eastAsia="微软雅黑" w:hAnsi="微软雅黑" w:cs="宋体" w:hint="eastAsia"/>
          <w:b/>
          <w:sz w:val="24"/>
        </w:rPr>
        <w:t>2</w:t>
      </w:r>
      <w:r>
        <w:rPr>
          <w:rFonts w:ascii="微软雅黑" w:eastAsia="微软雅黑" w:hAnsi="微软雅黑" w:cs="宋体" w:hint="eastAsia"/>
          <w:b/>
          <w:sz w:val="24"/>
        </w:rPr>
        <w:t>）咨询服务报价</w:t>
      </w:r>
      <w:bookmarkEnd w:id="60"/>
    </w:p>
    <w:p w:rsidR="00F267BB" w:rsidRDefault="00C85F06">
      <w:pPr>
        <w:pStyle w:val="af1"/>
        <w:spacing w:afterLines="50" w:after="156" w:line="560" w:lineRule="exact"/>
        <w:ind w:left="420" w:firstLineChars="0" w:firstLine="0"/>
        <w:outlineLvl w:val="0"/>
        <w:rPr>
          <w:rFonts w:ascii="微软雅黑" w:eastAsia="微软雅黑" w:hAnsi="微软雅黑" w:cs="宋体"/>
          <w:b/>
          <w:sz w:val="22"/>
          <w:szCs w:val="22"/>
        </w:rPr>
      </w:pPr>
      <w:bookmarkStart w:id="61" w:name="_Toc19566"/>
      <w:r>
        <w:rPr>
          <w:rFonts w:ascii="微软雅黑" w:eastAsia="微软雅黑" w:hAnsi="微软雅黑" w:cs="宋体" w:hint="eastAsia"/>
          <w:b/>
          <w:sz w:val="22"/>
          <w:szCs w:val="22"/>
        </w:rPr>
        <w:t>（</w:t>
      </w:r>
      <w:r>
        <w:rPr>
          <w:rFonts w:ascii="微软雅黑" w:eastAsia="微软雅黑" w:hAnsi="微软雅黑" w:cs="宋体" w:hint="eastAsia"/>
          <w:b/>
          <w:sz w:val="22"/>
          <w:szCs w:val="22"/>
        </w:rPr>
        <w:t>2</w:t>
      </w:r>
      <w:r>
        <w:rPr>
          <w:rFonts w:ascii="微软雅黑" w:eastAsia="微软雅黑" w:hAnsi="微软雅黑" w:cs="宋体" w:hint="eastAsia"/>
          <w:b/>
          <w:sz w:val="22"/>
          <w:szCs w:val="22"/>
        </w:rPr>
        <w:t>）</w:t>
      </w:r>
      <w:r>
        <w:rPr>
          <w:rFonts w:ascii="微软雅黑" w:eastAsia="微软雅黑" w:hAnsi="微软雅黑" w:cs="宋体" w:hint="eastAsia"/>
          <w:b/>
          <w:sz w:val="22"/>
          <w:szCs w:val="22"/>
        </w:rPr>
        <w:t>Consulting service quotation</w:t>
      </w:r>
      <w:bookmarkEnd w:id="61"/>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注：本次咨询服务报价不得超过</w:t>
      </w:r>
      <w:r>
        <w:rPr>
          <w:rFonts w:ascii="微软雅黑" w:eastAsia="微软雅黑" w:hAnsi="微软雅黑" w:cs="宋体" w:hint="eastAsia"/>
          <w:sz w:val="24"/>
        </w:rPr>
        <w:t>800</w:t>
      </w:r>
      <w:r>
        <w:rPr>
          <w:rFonts w:ascii="微软雅黑" w:eastAsia="微软雅黑" w:hAnsi="微软雅黑" w:cs="宋体" w:hint="eastAsia"/>
          <w:sz w:val="24"/>
        </w:rPr>
        <w:t>万元人民币的上限，否则视为无效报</w:t>
      </w:r>
      <w:r>
        <w:rPr>
          <w:rFonts w:ascii="微软雅黑" w:eastAsia="微软雅黑" w:hAnsi="微软雅黑" w:cs="宋体" w:hint="eastAsia"/>
          <w:sz w:val="24"/>
        </w:rPr>
        <w:lastRenderedPageBreak/>
        <w:t>价。</w:t>
      </w:r>
    </w:p>
    <w:p w:rsidR="00F267BB" w:rsidRDefault="00C85F06">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Note</w:t>
      </w:r>
      <w:r>
        <w:rPr>
          <w:rFonts w:ascii="微软雅黑" w:eastAsia="微软雅黑" w:hAnsi="微软雅黑" w:cs="宋体" w:hint="eastAsia"/>
          <w:sz w:val="22"/>
          <w:szCs w:val="22"/>
        </w:rPr>
        <w:t>：</w:t>
      </w:r>
      <w:r>
        <w:rPr>
          <w:rFonts w:ascii="微软雅黑" w:eastAsia="微软雅黑" w:hAnsi="微软雅黑" w:cs="宋体" w:hint="eastAsia"/>
          <w:sz w:val="22"/>
          <w:szCs w:val="22"/>
        </w:rPr>
        <w:t xml:space="preserve">The </w:t>
      </w:r>
      <w:r>
        <w:rPr>
          <w:rFonts w:ascii="微软雅黑" w:eastAsia="微软雅黑" w:hAnsi="微软雅黑" w:cs="宋体" w:hint="eastAsia"/>
          <w:sz w:val="22"/>
          <w:szCs w:val="22"/>
        </w:rPr>
        <w:t>quotation of this consulting service should not exceed 8 million RMB. Quotation exceeds this number will be voided.</w:t>
      </w:r>
    </w:p>
    <w:tbl>
      <w:tblPr>
        <w:tblW w:w="9090" w:type="dxa"/>
        <w:tblInd w:w="93" w:type="dxa"/>
        <w:tblLayout w:type="fixed"/>
        <w:tblLook w:val="04A0" w:firstRow="1" w:lastRow="0" w:firstColumn="1" w:lastColumn="0" w:noHBand="0" w:noVBand="1"/>
      </w:tblPr>
      <w:tblGrid>
        <w:gridCol w:w="748"/>
        <w:gridCol w:w="2603"/>
        <w:gridCol w:w="4032"/>
        <w:gridCol w:w="1707"/>
      </w:tblGrid>
      <w:tr w:rsidR="00F267BB">
        <w:trPr>
          <w:trHeight w:val="547"/>
        </w:trPr>
        <w:tc>
          <w:tcPr>
            <w:tcW w:w="9090" w:type="dxa"/>
            <w:gridSpan w:val="4"/>
            <w:tcBorders>
              <w:top w:val="single" w:sz="4" w:space="0" w:color="auto"/>
              <w:left w:val="single" w:sz="4" w:space="0" w:color="auto"/>
              <w:bottom w:val="single" w:sz="4" w:space="0" w:color="auto"/>
              <w:right w:val="single" w:sz="4" w:space="0" w:color="auto"/>
            </w:tcBorders>
            <w:vAlign w:val="center"/>
          </w:tcPr>
          <w:p w:rsidR="00F267BB" w:rsidRDefault="00C85F06">
            <w:pPr>
              <w:widowControl/>
              <w:jc w:val="left"/>
              <w:rPr>
                <w:rFonts w:ascii="微软雅黑" w:eastAsia="微软雅黑" w:hAnsi="微软雅黑" w:cs="宋体"/>
                <w:b/>
                <w:bCs/>
                <w:sz w:val="22"/>
                <w:szCs w:val="22"/>
              </w:rPr>
            </w:pPr>
            <w:r>
              <w:rPr>
                <w:rFonts w:ascii="微软雅黑" w:eastAsia="微软雅黑" w:hAnsi="微软雅黑" w:cs="宋体" w:hint="eastAsia"/>
                <w:b/>
                <w:bCs/>
                <w:kern w:val="0"/>
                <w:sz w:val="22"/>
                <w:szCs w:val="22"/>
              </w:rPr>
              <w:t>项目名称：</w:t>
            </w:r>
            <w:r>
              <w:rPr>
                <w:rFonts w:ascii="微软雅黑" w:eastAsia="微软雅黑" w:hAnsi="微软雅黑" w:cs="宋体" w:hint="eastAsia"/>
                <w:b/>
                <w:bCs/>
                <w:sz w:val="22"/>
                <w:szCs w:val="22"/>
              </w:rPr>
              <w:t>深圳湾超级总部基地片区统筹开发建设与运营国际咨询</w:t>
            </w:r>
            <w:r>
              <w:rPr>
                <w:rFonts w:ascii="微软雅黑" w:eastAsia="微软雅黑" w:hAnsi="微软雅黑" w:cs="宋体" w:hint="eastAsia"/>
                <w:b/>
                <w:bCs/>
                <w:sz w:val="22"/>
                <w:szCs w:val="22"/>
              </w:rPr>
              <w:t xml:space="preserve"> </w:t>
            </w:r>
          </w:p>
          <w:p w:rsidR="00F267BB" w:rsidRDefault="00C85F06">
            <w:pPr>
              <w:adjustRightInd w:val="0"/>
              <w:snapToGrid w:val="0"/>
              <w:spacing w:beforeLines="50" w:before="156" w:afterLines="50" w:after="156" w:line="360" w:lineRule="auto"/>
              <w:jc w:val="left"/>
              <w:rPr>
                <w:rFonts w:ascii="微软雅黑" w:eastAsia="微软雅黑" w:hAnsi="微软雅黑" w:cs="宋体"/>
                <w:kern w:val="0"/>
                <w:sz w:val="22"/>
                <w:szCs w:val="22"/>
              </w:rPr>
            </w:pPr>
            <w:r>
              <w:rPr>
                <w:rFonts w:ascii="微软雅黑" w:eastAsia="微软雅黑" w:hAnsi="微软雅黑" w:hint="eastAsia"/>
                <w:b/>
                <w:bCs/>
                <w:sz w:val="22"/>
                <w:szCs w:val="22"/>
              </w:rPr>
              <w:t>Project Name: International Consultation for Overall Planning</w:t>
            </w:r>
            <w:r>
              <w:rPr>
                <w:rFonts w:ascii="微软雅黑" w:eastAsia="微软雅黑" w:hAnsi="微软雅黑" w:hint="eastAsia"/>
                <w:b/>
                <w:bCs/>
                <w:sz w:val="22"/>
                <w:szCs w:val="22"/>
              </w:rPr>
              <w:t>，</w:t>
            </w:r>
            <w:r>
              <w:rPr>
                <w:rFonts w:ascii="微软雅黑" w:eastAsia="微软雅黑" w:hAnsi="微软雅黑" w:hint="eastAsia"/>
                <w:b/>
                <w:bCs/>
                <w:sz w:val="22"/>
                <w:szCs w:val="22"/>
              </w:rPr>
              <w:t>Development and Operation of Shenzhen Bay Super</w:t>
            </w:r>
            <w:r>
              <w:rPr>
                <w:rFonts w:ascii="微软雅黑" w:eastAsia="微软雅黑" w:hAnsi="微软雅黑" w:hint="eastAsia"/>
                <w:b/>
                <w:bCs/>
                <w:sz w:val="22"/>
                <w:szCs w:val="22"/>
              </w:rPr>
              <w:t xml:space="preserve"> Headquarters Base</w:t>
            </w:r>
          </w:p>
        </w:tc>
      </w:tr>
      <w:tr w:rsidR="00F267BB">
        <w:trPr>
          <w:trHeight w:val="562"/>
        </w:trPr>
        <w:tc>
          <w:tcPr>
            <w:tcW w:w="748" w:type="dxa"/>
            <w:tcBorders>
              <w:top w:val="nil"/>
              <w:left w:val="single" w:sz="4" w:space="0" w:color="auto"/>
              <w:bottom w:val="single" w:sz="4" w:space="0" w:color="auto"/>
              <w:right w:val="single" w:sz="4" w:space="0" w:color="auto"/>
            </w:tcBorders>
            <w:vAlign w:val="center"/>
          </w:tcPr>
          <w:p w:rsidR="00F267BB" w:rsidRDefault="00C85F06">
            <w:pPr>
              <w:widowControl/>
              <w:jc w:val="center"/>
              <w:rPr>
                <w:rFonts w:ascii="微软雅黑" w:eastAsia="微软雅黑" w:hAnsi="微软雅黑" w:cs="宋体"/>
                <w:b/>
                <w:bCs/>
                <w:kern w:val="0"/>
                <w:sz w:val="22"/>
                <w:szCs w:val="22"/>
              </w:rPr>
            </w:pPr>
            <w:r>
              <w:rPr>
                <w:rFonts w:ascii="微软雅黑" w:eastAsia="微软雅黑" w:hAnsi="微软雅黑" w:cs="宋体" w:hint="eastAsia"/>
                <w:b/>
                <w:bCs/>
                <w:kern w:val="0"/>
                <w:sz w:val="22"/>
                <w:szCs w:val="22"/>
              </w:rPr>
              <w:t>序号</w:t>
            </w:r>
          </w:p>
          <w:p w:rsidR="00F267BB" w:rsidRDefault="00C85F06">
            <w:pPr>
              <w:widowControl/>
              <w:jc w:val="center"/>
              <w:rPr>
                <w:rFonts w:ascii="微软雅黑" w:eastAsia="微软雅黑" w:hAnsi="微软雅黑" w:cs="宋体"/>
                <w:b/>
                <w:bCs/>
                <w:kern w:val="0"/>
                <w:sz w:val="22"/>
                <w:szCs w:val="22"/>
              </w:rPr>
            </w:pPr>
            <w:r>
              <w:rPr>
                <w:rFonts w:ascii="微软雅黑" w:eastAsia="微软雅黑" w:hAnsi="微软雅黑" w:cs="宋体" w:hint="eastAsia"/>
                <w:b/>
                <w:bCs/>
                <w:kern w:val="0"/>
                <w:sz w:val="22"/>
                <w:szCs w:val="22"/>
              </w:rPr>
              <w:t>No.</w:t>
            </w:r>
          </w:p>
        </w:tc>
        <w:tc>
          <w:tcPr>
            <w:tcW w:w="2603" w:type="dxa"/>
            <w:tcBorders>
              <w:top w:val="nil"/>
              <w:left w:val="nil"/>
              <w:bottom w:val="single" w:sz="4" w:space="0" w:color="auto"/>
              <w:right w:val="single" w:sz="4" w:space="0" w:color="auto"/>
            </w:tcBorders>
            <w:vAlign w:val="center"/>
          </w:tcPr>
          <w:p w:rsidR="00F267BB" w:rsidRDefault="00C85F06">
            <w:pPr>
              <w:jc w:val="center"/>
              <w:rPr>
                <w:rFonts w:ascii="微软雅黑" w:eastAsia="微软雅黑" w:hAnsi="微软雅黑" w:cs="宋体"/>
                <w:b/>
                <w:bCs/>
                <w:snapToGrid w:val="0"/>
                <w:kern w:val="0"/>
                <w:sz w:val="22"/>
                <w:szCs w:val="22"/>
              </w:rPr>
            </w:pPr>
            <w:r>
              <w:rPr>
                <w:rFonts w:ascii="微软雅黑" w:eastAsia="微软雅黑" w:hAnsi="微软雅黑" w:cs="宋体" w:hint="eastAsia"/>
                <w:b/>
                <w:bCs/>
                <w:snapToGrid w:val="0"/>
                <w:kern w:val="0"/>
                <w:sz w:val="22"/>
                <w:szCs w:val="22"/>
              </w:rPr>
              <w:t>内容</w:t>
            </w:r>
          </w:p>
          <w:p w:rsidR="00F267BB" w:rsidRDefault="00C85F06">
            <w:pPr>
              <w:jc w:val="center"/>
              <w:rPr>
                <w:rFonts w:ascii="微软雅黑" w:eastAsia="微软雅黑" w:hAnsi="微软雅黑" w:cs="宋体"/>
                <w:b/>
                <w:bCs/>
                <w:snapToGrid w:val="0"/>
                <w:kern w:val="0"/>
                <w:sz w:val="22"/>
                <w:szCs w:val="22"/>
              </w:rPr>
            </w:pPr>
            <w:r>
              <w:rPr>
                <w:rFonts w:ascii="微软雅黑" w:eastAsia="微软雅黑" w:hAnsi="微软雅黑" w:cs="宋体" w:hint="eastAsia"/>
                <w:b/>
                <w:bCs/>
                <w:snapToGrid w:val="0"/>
                <w:kern w:val="0"/>
                <w:sz w:val="22"/>
                <w:szCs w:val="22"/>
              </w:rPr>
              <w:t>Contents</w:t>
            </w:r>
          </w:p>
        </w:tc>
        <w:tc>
          <w:tcPr>
            <w:tcW w:w="4032" w:type="dxa"/>
            <w:tcBorders>
              <w:top w:val="nil"/>
              <w:left w:val="nil"/>
              <w:bottom w:val="single" w:sz="4" w:space="0" w:color="auto"/>
              <w:right w:val="single" w:sz="4" w:space="0" w:color="auto"/>
            </w:tcBorders>
            <w:vAlign w:val="center"/>
          </w:tcPr>
          <w:p w:rsidR="00F267BB" w:rsidRDefault="00C85F06">
            <w:pPr>
              <w:jc w:val="center"/>
              <w:rPr>
                <w:rFonts w:ascii="微软雅黑" w:eastAsia="微软雅黑" w:hAnsi="微软雅黑" w:cs="宋体"/>
                <w:b/>
                <w:bCs/>
                <w:snapToGrid w:val="0"/>
                <w:kern w:val="0"/>
                <w:sz w:val="22"/>
                <w:szCs w:val="22"/>
              </w:rPr>
            </w:pPr>
            <w:r>
              <w:rPr>
                <w:rFonts w:ascii="微软雅黑" w:eastAsia="微软雅黑" w:hAnsi="微软雅黑" w:cs="宋体" w:hint="eastAsia"/>
                <w:b/>
                <w:bCs/>
                <w:snapToGrid w:val="0"/>
                <w:kern w:val="0"/>
                <w:sz w:val="22"/>
                <w:szCs w:val="22"/>
              </w:rPr>
              <w:t>咨询服务报价（人民币：万元）</w:t>
            </w:r>
          </w:p>
          <w:p w:rsidR="00F267BB" w:rsidRDefault="00C85F06">
            <w:pPr>
              <w:jc w:val="center"/>
              <w:rPr>
                <w:rFonts w:ascii="微软雅黑" w:eastAsia="微软雅黑" w:hAnsi="微软雅黑" w:cs="宋体"/>
                <w:b/>
                <w:bCs/>
                <w:snapToGrid w:val="0"/>
                <w:kern w:val="0"/>
                <w:sz w:val="22"/>
                <w:szCs w:val="22"/>
              </w:rPr>
            </w:pPr>
            <w:r>
              <w:rPr>
                <w:rFonts w:ascii="微软雅黑" w:eastAsia="微软雅黑" w:hAnsi="微软雅黑" w:cs="宋体" w:hint="eastAsia"/>
                <w:b/>
                <w:bCs/>
                <w:snapToGrid w:val="0"/>
                <w:kern w:val="0"/>
                <w:sz w:val="22"/>
                <w:szCs w:val="22"/>
              </w:rPr>
              <w:t>Consulting service quotation</w:t>
            </w:r>
            <w:r>
              <w:rPr>
                <w:rFonts w:ascii="微软雅黑" w:eastAsia="微软雅黑" w:hAnsi="微软雅黑" w:cs="宋体" w:hint="eastAsia"/>
                <w:b/>
                <w:bCs/>
                <w:snapToGrid w:val="0"/>
                <w:kern w:val="0"/>
                <w:sz w:val="22"/>
                <w:szCs w:val="22"/>
              </w:rPr>
              <w:t>（</w:t>
            </w:r>
            <w:r>
              <w:rPr>
                <w:rFonts w:ascii="微软雅黑" w:eastAsia="微软雅黑" w:hAnsi="微软雅黑" w:cs="宋体" w:hint="eastAsia"/>
                <w:b/>
                <w:bCs/>
                <w:snapToGrid w:val="0"/>
                <w:kern w:val="0"/>
                <w:sz w:val="22"/>
                <w:szCs w:val="22"/>
              </w:rPr>
              <w:t>CNY:</w:t>
            </w:r>
            <w:r>
              <w:rPr>
                <w:rFonts w:ascii="微软雅黑" w:eastAsia="微软雅黑" w:hAnsi="微软雅黑" w:cs="宋体"/>
                <w:b/>
                <w:bCs/>
                <w:snapToGrid w:val="0"/>
                <w:kern w:val="0"/>
                <w:sz w:val="22"/>
                <w:szCs w:val="22"/>
              </w:rPr>
              <w:t xml:space="preserve"> in ten-thousand Yuan</w:t>
            </w:r>
            <w:r>
              <w:rPr>
                <w:rFonts w:ascii="微软雅黑" w:eastAsia="微软雅黑" w:hAnsi="微软雅黑" w:cs="宋体" w:hint="eastAsia"/>
                <w:b/>
                <w:bCs/>
                <w:snapToGrid w:val="0"/>
                <w:kern w:val="0"/>
                <w:sz w:val="22"/>
                <w:szCs w:val="22"/>
              </w:rPr>
              <w:t>）</w:t>
            </w:r>
          </w:p>
        </w:tc>
        <w:tc>
          <w:tcPr>
            <w:tcW w:w="1707" w:type="dxa"/>
            <w:tcBorders>
              <w:top w:val="nil"/>
              <w:left w:val="nil"/>
              <w:bottom w:val="single" w:sz="4" w:space="0" w:color="auto"/>
              <w:right w:val="single" w:sz="4" w:space="0" w:color="auto"/>
            </w:tcBorders>
            <w:vAlign w:val="center"/>
          </w:tcPr>
          <w:p w:rsidR="00F267BB" w:rsidRDefault="00C85F06">
            <w:pPr>
              <w:widowControl/>
              <w:jc w:val="center"/>
              <w:rPr>
                <w:rFonts w:ascii="微软雅黑" w:eastAsia="微软雅黑" w:hAnsi="微软雅黑" w:cs="宋体"/>
                <w:b/>
                <w:bCs/>
                <w:snapToGrid w:val="0"/>
                <w:kern w:val="0"/>
                <w:sz w:val="22"/>
                <w:szCs w:val="22"/>
              </w:rPr>
            </w:pPr>
            <w:r>
              <w:rPr>
                <w:rFonts w:ascii="微软雅黑" w:eastAsia="微软雅黑" w:hAnsi="微软雅黑" w:cs="宋体" w:hint="eastAsia"/>
                <w:b/>
                <w:bCs/>
                <w:snapToGrid w:val="0"/>
                <w:kern w:val="0"/>
                <w:sz w:val="22"/>
                <w:szCs w:val="22"/>
              </w:rPr>
              <w:t>备注</w:t>
            </w:r>
          </w:p>
          <w:p w:rsidR="00F267BB" w:rsidRDefault="00C85F06">
            <w:pPr>
              <w:widowControl/>
              <w:jc w:val="center"/>
              <w:rPr>
                <w:rFonts w:ascii="微软雅黑" w:eastAsia="微软雅黑" w:hAnsi="微软雅黑" w:cs="宋体"/>
                <w:b/>
                <w:bCs/>
                <w:snapToGrid w:val="0"/>
                <w:kern w:val="0"/>
                <w:sz w:val="22"/>
                <w:szCs w:val="22"/>
              </w:rPr>
            </w:pPr>
            <w:r>
              <w:rPr>
                <w:rFonts w:ascii="微软雅黑" w:eastAsia="微软雅黑" w:hAnsi="微软雅黑" w:cs="宋体" w:hint="eastAsia"/>
                <w:b/>
                <w:bCs/>
                <w:snapToGrid w:val="0"/>
                <w:kern w:val="0"/>
                <w:sz w:val="22"/>
                <w:szCs w:val="22"/>
              </w:rPr>
              <w:t>Note</w:t>
            </w:r>
          </w:p>
        </w:tc>
      </w:tr>
      <w:tr w:rsidR="00F267BB">
        <w:trPr>
          <w:trHeight w:val="1526"/>
        </w:trPr>
        <w:tc>
          <w:tcPr>
            <w:tcW w:w="748" w:type="dxa"/>
            <w:tcBorders>
              <w:top w:val="single" w:sz="4" w:space="0" w:color="auto"/>
              <w:left w:val="single" w:sz="4" w:space="0" w:color="auto"/>
              <w:bottom w:val="single" w:sz="4" w:space="0" w:color="auto"/>
              <w:right w:val="single" w:sz="4" w:space="0" w:color="auto"/>
            </w:tcBorders>
            <w:vAlign w:val="center"/>
          </w:tcPr>
          <w:p w:rsidR="00F267BB" w:rsidRDefault="00C85F06">
            <w:pPr>
              <w:widowControl/>
              <w:jc w:val="center"/>
              <w:rPr>
                <w:rFonts w:ascii="微软雅黑" w:eastAsia="微软雅黑" w:hAnsi="微软雅黑" w:cs="宋体"/>
                <w:kern w:val="0"/>
                <w:sz w:val="22"/>
                <w:szCs w:val="22"/>
              </w:rPr>
            </w:pPr>
            <w:r>
              <w:rPr>
                <w:rFonts w:ascii="微软雅黑" w:eastAsia="微软雅黑" w:hAnsi="微软雅黑" w:cs="宋体" w:hint="eastAsia"/>
                <w:kern w:val="0"/>
                <w:sz w:val="22"/>
                <w:szCs w:val="22"/>
              </w:rPr>
              <w:t>1</w:t>
            </w:r>
          </w:p>
        </w:tc>
        <w:tc>
          <w:tcPr>
            <w:tcW w:w="2603" w:type="dxa"/>
            <w:tcBorders>
              <w:top w:val="single" w:sz="4" w:space="0" w:color="auto"/>
              <w:left w:val="nil"/>
              <w:bottom w:val="single" w:sz="4" w:space="0" w:color="auto"/>
              <w:right w:val="single" w:sz="4" w:space="0" w:color="auto"/>
            </w:tcBorders>
            <w:vAlign w:val="center"/>
          </w:tcPr>
          <w:p w:rsidR="00F267BB" w:rsidRDefault="00C85F06">
            <w:pPr>
              <w:rPr>
                <w:rFonts w:ascii="微软雅黑" w:eastAsia="微软雅黑" w:hAnsi="微软雅黑" w:cs="宋体"/>
                <w:sz w:val="22"/>
                <w:szCs w:val="22"/>
              </w:rPr>
            </w:pPr>
            <w:r>
              <w:rPr>
                <w:rFonts w:ascii="微软雅黑" w:eastAsia="微软雅黑" w:hAnsi="微软雅黑" w:cs="宋体" w:hint="eastAsia"/>
                <w:sz w:val="22"/>
                <w:szCs w:val="22"/>
              </w:rPr>
              <w:t>深圳湾超级总部基地片区统筹开发建设与运营咨询服务</w:t>
            </w:r>
          </w:p>
          <w:p w:rsidR="00F267BB" w:rsidRDefault="00C85F06">
            <w:pPr>
              <w:jc w:val="left"/>
              <w:rPr>
                <w:rFonts w:ascii="微软雅黑" w:eastAsia="微软雅黑" w:hAnsi="微软雅黑" w:cs="宋体"/>
                <w:sz w:val="22"/>
                <w:szCs w:val="22"/>
              </w:rPr>
            </w:pPr>
            <w:r>
              <w:rPr>
                <w:rFonts w:ascii="微软雅黑" w:eastAsia="微软雅黑" w:hAnsi="微软雅黑" w:cs="宋体" w:hint="eastAsia"/>
                <w:sz w:val="22"/>
                <w:szCs w:val="22"/>
              </w:rPr>
              <w:t>Consulting service Overall Planning</w:t>
            </w:r>
            <w:r>
              <w:rPr>
                <w:rFonts w:ascii="微软雅黑" w:eastAsia="微软雅黑" w:hAnsi="微软雅黑" w:cs="宋体" w:hint="eastAsia"/>
                <w:sz w:val="22"/>
                <w:szCs w:val="22"/>
              </w:rPr>
              <w:t>，</w:t>
            </w:r>
            <w:r>
              <w:rPr>
                <w:rFonts w:ascii="微软雅黑" w:eastAsia="微软雅黑" w:hAnsi="微软雅黑" w:cs="宋体" w:hint="eastAsia"/>
                <w:sz w:val="22"/>
                <w:szCs w:val="22"/>
              </w:rPr>
              <w:t>Development and Operation of Shenzhen Bay Super Headquarters Base</w:t>
            </w:r>
          </w:p>
        </w:tc>
        <w:tc>
          <w:tcPr>
            <w:tcW w:w="4032" w:type="dxa"/>
            <w:tcBorders>
              <w:top w:val="nil"/>
              <w:left w:val="nil"/>
              <w:bottom w:val="single" w:sz="4" w:space="0" w:color="auto"/>
              <w:right w:val="single" w:sz="4" w:space="0" w:color="auto"/>
            </w:tcBorders>
            <w:vAlign w:val="center"/>
          </w:tcPr>
          <w:p w:rsidR="00F267BB" w:rsidRDefault="00C85F06">
            <w:pPr>
              <w:widowControl/>
              <w:rPr>
                <w:rFonts w:ascii="微软雅黑" w:eastAsia="微软雅黑" w:hAnsi="微软雅黑" w:cs="宋体"/>
                <w:kern w:val="0"/>
                <w:sz w:val="22"/>
                <w:szCs w:val="22"/>
              </w:rPr>
            </w:pPr>
            <w:r>
              <w:rPr>
                <w:rFonts w:ascii="微软雅黑" w:eastAsia="微软雅黑" w:hAnsi="微软雅黑" w:cs="宋体" w:hint="eastAsia"/>
                <w:kern w:val="0"/>
                <w:sz w:val="22"/>
                <w:szCs w:val="22"/>
              </w:rPr>
              <w:t>小写：</w:t>
            </w:r>
          </w:p>
          <w:p w:rsidR="00F267BB" w:rsidRDefault="00C85F06">
            <w:pPr>
              <w:widowControl/>
              <w:rPr>
                <w:rFonts w:ascii="微软雅黑" w:eastAsia="微软雅黑" w:hAnsi="微软雅黑" w:cs="宋体"/>
                <w:kern w:val="0"/>
                <w:sz w:val="22"/>
                <w:szCs w:val="22"/>
              </w:rPr>
            </w:pPr>
            <w:r>
              <w:rPr>
                <w:rFonts w:ascii="微软雅黑" w:eastAsia="微软雅黑" w:hAnsi="微软雅黑" w:cs="宋体" w:hint="eastAsia"/>
                <w:kern w:val="0"/>
                <w:sz w:val="22"/>
                <w:szCs w:val="22"/>
              </w:rPr>
              <w:t xml:space="preserve">In </w:t>
            </w:r>
            <w:r>
              <w:rPr>
                <w:rFonts w:ascii="微软雅黑" w:eastAsia="微软雅黑" w:hAnsi="微软雅黑" w:cs="宋体" w:hint="eastAsia"/>
                <w:kern w:val="0"/>
                <w:sz w:val="22"/>
                <w:szCs w:val="22"/>
              </w:rPr>
              <w:t>number</w:t>
            </w:r>
            <w:r>
              <w:rPr>
                <w:rFonts w:ascii="微软雅黑" w:eastAsia="微软雅黑" w:hAnsi="微软雅黑" w:cs="宋体"/>
                <w:kern w:val="0"/>
                <w:sz w:val="22"/>
                <w:szCs w:val="22"/>
              </w:rPr>
              <w:t>:</w:t>
            </w:r>
          </w:p>
          <w:p w:rsidR="00F267BB" w:rsidRDefault="00F267BB">
            <w:pPr>
              <w:widowControl/>
              <w:rPr>
                <w:rFonts w:ascii="微软雅黑" w:eastAsia="微软雅黑" w:hAnsi="微软雅黑" w:cs="宋体"/>
                <w:kern w:val="0"/>
                <w:sz w:val="22"/>
                <w:szCs w:val="22"/>
              </w:rPr>
            </w:pPr>
          </w:p>
          <w:p w:rsidR="00F267BB" w:rsidRDefault="00C85F06">
            <w:pPr>
              <w:rPr>
                <w:rFonts w:ascii="微软雅黑" w:eastAsia="微软雅黑" w:hAnsi="微软雅黑" w:cs="宋体"/>
                <w:kern w:val="0"/>
                <w:sz w:val="22"/>
                <w:szCs w:val="22"/>
              </w:rPr>
            </w:pPr>
            <w:r>
              <w:rPr>
                <w:rFonts w:ascii="微软雅黑" w:eastAsia="微软雅黑" w:hAnsi="微软雅黑" w:cs="宋体" w:hint="eastAsia"/>
                <w:kern w:val="0"/>
                <w:sz w:val="22"/>
                <w:szCs w:val="22"/>
              </w:rPr>
              <w:t>大写：</w:t>
            </w:r>
          </w:p>
          <w:p w:rsidR="00F267BB" w:rsidRDefault="00C85F06">
            <w:pPr>
              <w:rPr>
                <w:rFonts w:ascii="微软雅黑" w:eastAsia="微软雅黑" w:hAnsi="微软雅黑" w:cs="宋体"/>
                <w:kern w:val="0"/>
                <w:sz w:val="22"/>
                <w:szCs w:val="22"/>
              </w:rPr>
            </w:pPr>
            <w:r>
              <w:rPr>
                <w:rFonts w:ascii="微软雅黑" w:eastAsia="微软雅黑" w:hAnsi="微软雅黑" w:cs="宋体" w:hint="eastAsia"/>
                <w:kern w:val="0"/>
                <w:sz w:val="22"/>
                <w:szCs w:val="22"/>
              </w:rPr>
              <w:t>In text</w:t>
            </w:r>
            <w:r>
              <w:rPr>
                <w:rFonts w:ascii="微软雅黑" w:eastAsia="微软雅黑" w:hAnsi="微软雅黑" w:cs="宋体"/>
                <w:kern w:val="0"/>
                <w:sz w:val="22"/>
                <w:szCs w:val="22"/>
              </w:rPr>
              <w:t>:</w:t>
            </w:r>
          </w:p>
          <w:p w:rsidR="00F267BB" w:rsidRDefault="00F267BB">
            <w:pPr>
              <w:rPr>
                <w:rFonts w:ascii="微软雅黑" w:eastAsia="微软雅黑" w:hAnsi="微软雅黑" w:cs="宋体"/>
                <w:kern w:val="0"/>
                <w:sz w:val="22"/>
                <w:szCs w:val="22"/>
              </w:rPr>
            </w:pPr>
          </w:p>
          <w:p w:rsidR="00F267BB" w:rsidRDefault="00F267BB">
            <w:pPr>
              <w:widowControl/>
              <w:jc w:val="center"/>
              <w:rPr>
                <w:rFonts w:ascii="微软雅黑" w:eastAsia="微软雅黑" w:hAnsi="微软雅黑" w:cs="宋体"/>
                <w:kern w:val="0"/>
                <w:sz w:val="22"/>
                <w:szCs w:val="22"/>
              </w:rPr>
            </w:pPr>
          </w:p>
        </w:tc>
        <w:tc>
          <w:tcPr>
            <w:tcW w:w="1707" w:type="dxa"/>
            <w:tcBorders>
              <w:top w:val="nil"/>
              <w:left w:val="nil"/>
              <w:bottom w:val="single" w:sz="4" w:space="0" w:color="auto"/>
              <w:right w:val="single" w:sz="4" w:space="0" w:color="auto"/>
            </w:tcBorders>
            <w:vAlign w:val="center"/>
          </w:tcPr>
          <w:p w:rsidR="00F267BB" w:rsidRDefault="00F267BB">
            <w:pPr>
              <w:rPr>
                <w:rFonts w:ascii="微软雅黑" w:eastAsia="微软雅黑" w:hAnsi="微软雅黑" w:cs="宋体"/>
                <w:sz w:val="22"/>
                <w:szCs w:val="22"/>
              </w:rPr>
            </w:pPr>
          </w:p>
          <w:p w:rsidR="00F267BB" w:rsidRDefault="00F267BB">
            <w:pPr>
              <w:rPr>
                <w:rFonts w:ascii="微软雅黑" w:eastAsia="微软雅黑" w:hAnsi="微软雅黑" w:cs="宋体"/>
                <w:sz w:val="22"/>
                <w:szCs w:val="22"/>
              </w:rPr>
            </w:pPr>
          </w:p>
          <w:p w:rsidR="00F267BB" w:rsidRDefault="00F267BB">
            <w:pPr>
              <w:rPr>
                <w:rFonts w:ascii="微软雅黑" w:eastAsia="微软雅黑" w:hAnsi="微软雅黑" w:cs="宋体"/>
                <w:sz w:val="22"/>
                <w:szCs w:val="22"/>
              </w:rPr>
            </w:pPr>
          </w:p>
          <w:p w:rsidR="00F267BB" w:rsidRDefault="00F267BB">
            <w:pPr>
              <w:widowControl/>
              <w:jc w:val="center"/>
              <w:rPr>
                <w:rFonts w:ascii="微软雅黑" w:eastAsia="微软雅黑" w:hAnsi="微软雅黑" w:cs="宋体"/>
                <w:sz w:val="22"/>
                <w:szCs w:val="22"/>
              </w:rPr>
            </w:pPr>
          </w:p>
        </w:tc>
      </w:tr>
      <w:tr w:rsidR="00F267BB">
        <w:trPr>
          <w:trHeight w:val="1740"/>
        </w:trPr>
        <w:tc>
          <w:tcPr>
            <w:tcW w:w="9090" w:type="dxa"/>
            <w:gridSpan w:val="4"/>
            <w:tcBorders>
              <w:top w:val="nil"/>
              <w:left w:val="single" w:sz="4" w:space="0" w:color="auto"/>
              <w:bottom w:val="single" w:sz="4" w:space="0" w:color="auto"/>
              <w:right w:val="single" w:sz="4" w:space="0" w:color="auto"/>
            </w:tcBorders>
            <w:vAlign w:val="center"/>
          </w:tcPr>
          <w:p w:rsidR="00F267BB" w:rsidRDefault="00C85F06">
            <w:pPr>
              <w:spacing w:line="240" w:lineRule="atLeast"/>
              <w:ind w:left="210" w:hanging="210"/>
              <w:jc w:val="left"/>
              <w:rPr>
                <w:rFonts w:ascii="微软雅黑" w:eastAsia="微软雅黑" w:hAnsi="微软雅黑" w:cs="宋体"/>
                <w:b/>
                <w:sz w:val="24"/>
              </w:rPr>
            </w:pPr>
            <w:r>
              <w:rPr>
                <w:rFonts w:ascii="微软雅黑" w:eastAsia="微软雅黑" w:hAnsi="微软雅黑" w:cs="宋体" w:hint="eastAsia"/>
                <w:b/>
                <w:sz w:val="24"/>
              </w:rPr>
              <w:lastRenderedPageBreak/>
              <w:t>说明：</w:t>
            </w:r>
          </w:p>
          <w:p w:rsidR="00F267BB" w:rsidRDefault="00C85F06">
            <w:pPr>
              <w:pStyle w:val="a9"/>
              <w:rPr>
                <w:rFonts w:ascii="微软雅黑" w:eastAsia="微软雅黑" w:hAnsi="微软雅黑"/>
                <w:b/>
                <w:sz w:val="22"/>
                <w:szCs w:val="22"/>
              </w:rPr>
            </w:pPr>
            <w:r>
              <w:rPr>
                <w:rFonts w:ascii="微软雅黑" w:eastAsia="微软雅黑" w:hAnsi="微软雅黑" w:hint="eastAsia"/>
                <w:b/>
                <w:sz w:val="22"/>
                <w:szCs w:val="22"/>
              </w:rPr>
              <w:t>Instructions:</w:t>
            </w:r>
          </w:p>
          <w:p w:rsidR="00F267BB" w:rsidRDefault="00C85F06">
            <w:pPr>
              <w:spacing w:line="240" w:lineRule="atLeast"/>
              <w:rPr>
                <w:rFonts w:ascii="微软雅黑" w:eastAsia="微软雅黑" w:hAnsi="微软雅黑" w:cs="宋体"/>
                <w:sz w:val="24"/>
              </w:rPr>
            </w:pPr>
            <w:r>
              <w:rPr>
                <w:rFonts w:ascii="微软雅黑" w:eastAsia="微软雅黑" w:hAnsi="微软雅黑" w:cs="宋体" w:hint="eastAsia"/>
                <w:sz w:val="24"/>
              </w:rPr>
              <w:t>1</w:t>
            </w:r>
            <w:r>
              <w:rPr>
                <w:rFonts w:ascii="微软雅黑" w:eastAsia="微软雅黑" w:hAnsi="微软雅黑" w:cs="宋体" w:hint="eastAsia"/>
                <w:sz w:val="24"/>
              </w:rPr>
              <w:t>、</w:t>
            </w:r>
            <w:r>
              <w:rPr>
                <w:rFonts w:ascii="微软雅黑" w:eastAsia="微软雅黑" w:hAnsi="微软雅黑" w:cs="宋体" w:hint="eastAsia"/>
                <w:sz w:val="24"/>
              </w:rPr>
              <w:t>最终获得第一名的中标单位，其报价即为深圳湾超级总部基地片区统筹开发建设与运营国际咨询的服务合同价。</w:t>
            </w:r>
          </w:p>
          <w:p w:rsidR="00F267BB" w:rsidRDefault="00C85F06">
            <w:pPr>
              <w:spacing w:line="240" w:lineRule="atLeast"/>
              <w:rPr>
                <w:rFonts w:ascii="微软雅黑" w:eastAsia="微软雅黑" w:hAnsi="微软雅黑" w:cs="宋体"/>
                <w:sz w:val="24"/>
              </w:rPr>
            </w:pPr>
            <w:r>
              <w:rPr>
                <w:rFonts w:ascii="微软雅黑" w:eastAsia="微软雅黑" w:hAnsi="微软雅黑" w:cs="宋体" w:hint="eastAsia"/>
                <w:sz w:val="24"/>
              </w:rPr>
              <w:t xml:space="preserve">1. </w:t>
            </w:r>
            <w:r>
              <w:rPr>
                <w:rFonts w:ascii="微软雅黑" w:eastAsia="微软雅黑" w:hAnsi="微软雅黑" w:cs="宋体" w:hint="eastAsia"/>
                <w:sz w:val="24"/>
              </w:rPr>
              <w:t>The quotation of the bid-winning firms will be the contract price of International Consultation for Overall Planning</w:t>
            </w:r>
            <w:r>
              <w:rPr>
                <w:rFonts w:ascii="微软雅黑" w:eastAsia="微软雅黑" w:hAnsi="微软雅黑" w:cs="宋体" w:hint="eastAsia"/>
                <w:sz w:val="24"/>
              </w:rPr>
              <w:t>，</w:t>
            </w:r>
            <w:r>
              <w:rPr>
                <w:rFonts w:ascii="微软雅黑" w:eastAsia="微软雅黑" w:hAnsi="微软雅黑" w:cs="宋体" w:hint="eastAsia"/>
                <w:sz w:val="24"/>
              </w:rPr>
              <w:t>Development and Operation of Shenzhen</w:t>
            </w:r>
            <w:r>
              <w:rPr>
                <w:rFonts w:ascii="微软雅黑" w:eastAsia="微软雅黑" w:hAnsi="微软雅黑" w:cs="宋体" w:hint="eastAsia"/>
                <w:sz w:val="24"/>
              </w:rPr>
              <w:t xml:space="preserve"> Bay Super Headquarters Base.</w:t>
            </w:r>
          </w:p>
          <w:p w:rsidR="00F267BB" w:rsidRDefault="00C85F06">
            <w:pPr>
              <w:spacing w:line="240" w:lineRule="atLeast"/>
              <w:rPr>
                <w:rFonts w:ascii="微软雅黑" w:eastAsia="微软雅黑" w:hAnsi="微软雅黑" w:cs="宋体"/>
                <w:sz w:val="24"/>
              </w:rPr>
            </w:pPr>
            <w:r>
              <w:rPr>
                <w:rFonts w:ascii="微软雅黑" w:eastAsia="微软雅黑" w:hAnsi="微软雅黑" w:cs="宋体" w:hint="eastAsia"/>
                <w:sz w:val="24"/>
              </w:rPr>
              <w:t>2</w:t>
            </w:r>
            <w:r>
              <w:rPr>
                <w:rFonts w:ascii="微软雅黑" w:eastAsia="微软雅黑" w:hAnsi="微软雅黑" w:cs="宋体" w:hint="eastAsia"/>
                <w:sz w:val="24"/>
              </w:rPr>
              <w:t>、</w:t>
            </w:r>
            <w:r>
              <w:rPr>
                <w:rFonts w:ascii="微软雅黑" w:eastAsia="微软雅黑" w:hAnsi="微软雅黑" w:cs="宋体" w:hint="eastAsia"/>
                <w:sz w:val="24"/>
              </w:rPr>
              <w:t>咨询服务报价作为评审依据之一，本项目不承诺最低价中标。</w:t>
            </w:r>
          </w:p>
          <w:p w:rsidR="00F267BB" w:rsidRDefault="00C85F06">
            <w:pPr>
              <w:spacing w:line="240" w:lineRule="atLeast"/>
              <w:rPr>
                <w:rFonts w:ascii="微软雅黑" w:eastAsia="微软雅黑" w:hAnsi="微软雅黑" w:cs="宋体"/>
                <w:sz w:val="24"/>
              </w:rPr>
            </w:pPr>
            <w:r>
              <w:rPr>
                <w:rFonts w:ascii="微软雅黑" w:eastAsia="微软雅黑" w:hAnsi="微软雅黑" w:cs="宋体" w:hint="eastAsia"/>
                <w:sz w:val="24"/>
              </w:rPr>
              <w:t xml:space="preserve">2. </w:t>
            </w:r>
            <w:r>
              <w:rPr>
                <w:rFonts w:ascii="微软雅黑" w:eastAsia="微软雅黑" w:hAnsi="微软雅黑" w:cs="宋体" w:hint="eastAsia"/>
                <w:sz w:val="24"/>
              </w:rPr>
              <w:t xml:space="preserve">Quotation is one of the basis for evaluation, and this project does not promise the lowest price bid is the winning bid. </w:t>
            </w:r>
          </w:p>
          <w:p w:rsidR="00F267BB" w:rsidRDefault="00C85F06">
            <w:pPr>
              <w:spacing w:line="240" w:lineRule="atLeast"/>
              <w:rPr>
                <w:rFonts w:ascii="微软雅黑" w:eastAsia="微软雅黑" w:hAnsi="微软雅黑" w:cs="宋体"/>
                <w:sz w:val="24"/>
              </w:rPr>
            </w:pPr>
            <w:r>
              <w:rPr>
                <w:rFonts w:ascii="微软雅黑" w:eastAsia="微软雅黑" w:hAnsi="微软雅黑" w:cs="宋体" w:hint="eastAsia"/>
                <w:sz w:val="24"/>
              </w:rPr>
              <w:t>3</w:t>
            </w:r>
            <w:r>
              <w:rPr>
                <w:rFonts w:ascii="微软雅黑" w:eastAsia="微软雅黑" w:hAnsi="微软雅黑" w:cs="宋体" w:hint="eastAsia"/>
                <w:sz w:val="24"/>
              </w:rPr>
              <w:t>、</w:t>
            </w:r>
            <w:r>
              <w:rPr>
                <w:rFonts w:ascii="微软雅黑" w:eastAsia="微软雅黑" w:hAnsi="微软雅黑" w:cs="宋体" w:hint="eastAsia"/>
                <w:sz w:val="24"/>
              </w:rPr>
              <w:t>咨询服务报价大小写数字不一致的，以大写数字为准</w:t>
            </w:r>
            <w:r>
              <w:rPr>
                <w:rFonts w:ascii="微软雅黑" w:eastAsia="微软雅黑" w:hAnsi="微软雅黑" w:cs="宋体" w:hint="eastAsia"/>
                <w:sz w:val="24"/>
              </w:rPr>
              <w:t>。</w:t>
            </w:r>
          </w:p>
          <w:p w:rsidR="00F267BB" w:rsidRDefault="00C85F06">
            <w:pPr>
              <w:spacing w:line="240" w:lineRule="atLeast"/>
              <w:rPr>
                <w:rFonts w:ascii="微软雅黑" w:eastAsia="微软雅黑" w:hAnsi="微软雅黑" w:cs="宋体"/>
                <w:sz w:val="22"/>
                <w:szCs w:val="22"/>
              </w:rPr>
            </w:pPr>
            <w:r>
              <w:rPr>
                <w:rFonts w:ascii="微软雅黑" w:eastAsia="微软雅黑" w:hAnsi="微软雅黑" w:cs="宋体" w:hint="eastAsia"/>
                <w:sz w:val="24"/>
              </w:rPr>
              <w:t xml:space="preserve">3. </w:t>
            </w:r>
            <w:r>
              <w:rPr>
                <w:rFonts w:ascii="微软雅黑" w:eastAsia="微软雅黑" w:hAnsi="微软雅黑" w:cs="宋体" w:hint="eastAsia"/>
                <w:sz w:val="24"/>
              </w:rPr>
              <w:t>If there is inconsistence between quotati</w:t>
            </w:r>
            <w:r>
              <w:rPr>
                <w:rFonts w:ascii="微软雅黑" w:eastAsia="微软雅黑" w:hAnsi="微软雅黑" w:cs="宋体" w:hint="eastAsia"/>
                <w:sz w:val="24"/>
              </w:rPr>
              <w:t>on in number and quotation in text, the quotation in text shall prevail.</w:t>
            </w:r>
          </w:p>
        </w:tc>
      </w:tr>
    </w:tbl>
    <w:p w:rsidR="00F267BB" w:rsidRDefault="00C85F06">
      <w:pPr>
        <w:pStyle w:val="af1"/>
        <w:tabs>
          <w:tab w:val="left" w:pos="1060"/>
        </w:tabs>
        <w:spacing w:afterLines="50" w:after="156" w:line="560" w:lineRule="exact"/>
        <w:ind w:left="420" w:firstLineChars="0" w:firstLine="0"/>
        <w:outlineLvl w:val="0"/>
        <w:rPr>
          <w:rFonts w:ascii="微软雅黑" w:eastAsia="微软雅黑" w:hAnsi="微软雅黑" w:cs="宋体"/>
          <w:b/>
          <w:sz w:val="24"/>
        </w:rPr>
      </w:pPr>
      <w:bookmarkStart w:id="62" w:name="_Toc7256"/>
      <w:r>
        <w:rPr>
          <w:rFonts w:ascii="微软雅黑" w:eastAsia="微软雅黑" w:hAnsi="微软雅黑" w:cs="宋体" w:hint="eastAsia"/>
          <w:b/>
          <w:sz w:val="24"/>
        </w:rPr>
        <w:t>（</w:t>
      </w:r>
      <w:r>
        <w:rPr>
          <w:rFonts w:ascii="微软雅黑" w:eastAsia="微软雅黑" w:hAnsi="微软雅黑" w:cs="宋体" w:hint="eastAsia"/>
          <w:b/>
          <w:sz w:val="24"/>
        </w:rPr>
        <w:t>3</w:t>
      </w:r>
      <w:r>
        <w:rPr>
          <w:rFonts w:ascii="微软雅黑" w:eastAsia="微软雅黑" w:hAnsi="微软雅黑" w:cs="宋体" w:hint="eastAsia"/>
          <w:b/>
          <w:sz w:val="24"/>
        </w:rPr>
        <w:t>）汇报材料</w:t>
      </w:r>
      <w:bookmarkEnd w:id="62"/>
    </w:p>
    <w:p w:rsidR="00F267BB" w:rsidRDefault="00C85F06">
      <w:pPr>
        <w:pStyle w:val="af1"/>
        <w:spacing w:afterLines="50" w:after="156" w:line="560" w:lineRule="exact"/>
        <w:ind w:left="420" w:firstLineChars="0" w:firstLine="0"/>
        <w:outlineLvl w:val="0"/>
        <w:rPr>
          <w:rFonts w:ascii="微软雅黑" w:eastAsia="微软雅黑" w:hAnsi="微软雅黑" w:cs="宋体"/>
          <w:b/>
          <w:sz w:val="22"/>
          <w:szCs w:val="22"/>
        </w:rPr>
      </w:pPr>
      <w:bookmarkStart w:id="63" w:name="_Toc32332"/>
      <w:r>
        <w:rPr>
          <w:rFonts w:ascii="微软雅黑" w:eastAsia="微软雅黑" w:hAnsi="微软雅黑" w:cs="宋体" w:hint="eastAsia"/>
          <w:b/>
          <w:sz w:val="22"/>
          <w:szCs w:val="22"/>
        </w:rPr>
        <w:t>（</w:t>
      </w:r>
      <w:r>
        <w:rPr>
          <w:rFonts w:ascii="微软雅黑" w:eastAsia="微软雅黑" w:hAnsi="微软雅黑" w:cs="宋体" w:hint="eastAsia"/>
          <w:b/>
          <w:sz w:val="22"/>
          <w:szCs w:val="22"/>
        </w:rPr>
        <w:t>3</w:t>
      </w:r>
      <w:r>
        <w:rPr>
          <w:rFonts w:ascii="微软雅黑" w:eastAsia="微软雅黑" w:hAnsi="微软雅黑" w:cs="宋体" w:hint="eastAsia"/>
          <w:b/>
          <w:sz w:val="22"/>
          <w:szCs w:val="22"/>
        </w:rPr>
        <w:t>）</w:t>
      </w:r>
      <w:r>
        <w:rPr>
          <w:rFonts w:ascii="微软雅黑" w:eastAsia="微软雅黑" w:hAnsi="微软雅黑" w:cs="宋体" w:hint="eastAsia"/>
          <w:b/>
          <w:sz w:val="22"/>
          <w:szCs w:val="22"/>
        </w:rPr>
        <w:t>Presentation Materials</w:t>
      </w:r>
      <w:bookmarkEnd w:id="63"/>
      <w:r>
        <w:rPr>
          <w:rFonts w:ascii="微软雅黑" w:eastAsia="微软雅黑" w:hAnsi="微软雅黑" w:cs="宋体" w:hint="eastAsia"/>
          <w:b/>
          <w:sz w:val="22"/>
          <w:szCs w:val="22"/>
        </w:rPr>
        <w:t xml:space="preserve"> </w:t>
      </w:r>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PPT</w:t>
      </w:r>
      <w:r>
        <w:rPr>
          <w:rFonts w:ascii="微软雅黑" w:eastAsia="微软雅黑" w:hAnsi="微软雅黑" w:cs="宋体" w:hint="eastAsia"/>
          <w:sz w:val="24"/>
        </w:rPr>
        <w:t>或其他格式，汇报时间控制在</w:t>
      </w:r>
      <w:r>
        <w:rPr>
          <w:rFonts w:ascii="微软雅黑" w:eastAsia="微软雅黑" w:hAnsi="微软雅黑" w:cs="宋体" w:hint="eastAsia"/>
          <w:sz w:val="24"/>
        </w:rPr>
        <w:t>20</w:t>
      </w:r>
      <w:r>
        <w:rPr>
          <w:rFonts w:ascii="微软雅黑" w:eastAsia="微软雅黑" w:hAnsi="微软雅黑" w:cs="宋体" w:hint="eastAsia"/>
          <w:sz w:val="24"/>
        </w:rPr>
        <w:t>分钟内（含多媒体播放时间）</w:t>
      </w:r>
    </w:p>
    <w:p w:rsidR="00F267BB" w:rsidRDefault="00C85F06" w:rsidP="00677E44">
      <w:pPr>
        <w:spacing w:after="0" w:line="360" w:lineRule="auto"/>
        <w:ind w:firstLineChars="200" w:firstLine="440"/>
        <w:rPr>
          <w:rFonts w:ascii="微软雅黑" w:eastAsia="微软雅黑" w:hAnsi="微软雅黑" w:cs="宋体"/>
          <w:sz w:val="22"/>
          <w:szCs w:val="22"/>
        </w:rPr>
      </w:pPr>
      <w:bookmarkStart w:id="64" w:name="_Toc31143_WPSOffice_Level2"/>
      <w:r>
        <w:rPr>
          <w:rFonts w:ascii="微软雅黑" w:eastAsia="微软雅黑" w:hAnsi="微软雅黑" w:cs="宋体" w:hint="eastAsia"/>
          <w:sz w:val="22"/>
          <w:szCs w:val="22"/>
        </w:rPr>
        <w:t>I</w:t>
      </w:r>
      <w:r>
        <w:rPr>
          <w:rFonts w:ascii="微软雅黑" w:eastAsia="微软雅黑" w:hAnsi="微软雅黑" w:cs="宋体" w:hint="eastAsia"/>
          <w:sz w:val="22"/>
          <w:szCs w:val="22"/>
        </w:rPr>
        <w:t>n PPT or other format, with a reporting time within 20 minutes (including multimedia play time)</w:t>
      </w:r>
    </w:p>
    <w:p w:rsidR="00F267BB" w:rsidRDefault="00C85F06">
      <w:pPr>
        <w:pStyle w:val="af1"/>
        <w:tabs>
          <w:tab w:val="left" w:pos="1060"/>
        </w:tabs>
        <w:spacing w:afterLines="50" w:after="156" w:line="560" w:lineRule="exact"/>
        <w:ind w:left="420" w:firstLineChars="0" w:firstLine="0"/>
        <w:outlineLvl w:val="0"/>
        <w:rPr>
          <w:rFonts w:ascii="微软雅黑" w:eastAsia="微软雅黑" w:hAnsi="微软雅黑" w:cs="宋体"/>
          <w:b/>
          <w:sz w:val="24"/>
        </w:rPr>
      </w:pPr>
      <w:bookmarkStart w:id="65" w:name="_Toc10440"/>
      <w:r>
        <w:rPr>
          <w:rFonts w:ascii="微软雅黑" w:eastAsia="微软雅黑" w:hAnsi="微软雅黑" w:cs="宋体" w:hint="eastAsia"/>
          <w:b/>
          <w:sz w:val="24"/>
        </w:rPr>
        <w:t>（</w:t>
      </w:r>
      <w:r>
        <w:rPr>
          <w:rFonts w:ascii="微软雅黑" w:eastAsia="微软雅黑" w:hAnsi="微软雅黑" w:cs="宋体" w:hint="eastAsia"/>
          <w:b/>
          <w:sz w:val="24"/>
        </w:rPr>
        <w:t>4</w:t>
      </w:r>
      <w:r>
        <w:rPr>
          <w:rFonts w:ascii="微软雅黑" w:eastAsia="微软雅黑" w:hAnsi="微软雅黑" w:cs="宋体" w:hint="eastAsia"/>
          <w:b/>
          <w:sz w:val="24"/>
        </w:rPr>
        <w:t>）提案编制成果提交规格与数量</w:t>
      </w:r>
      <w:bookmarkEnd w:id="64"/>
      <w:bookmarkEnd w:id="65"/>
    </w:p>
    <w:p w:rsidR="00F267BB" w:rsidRDefault="00C85F06">
      <w:pPr>
        <w:pStyle w:val="af1"/>
        <w:spacing w:afterLines="50" w:after="156" w:line="560" w:lineRule="exact"/>
        <w:ind w:left="420" w:firstLineChars="0" w:firstLine="0"/>
        <w:outlineLvl w:val="0"/>
        <w:rPr>
          <w:rFonts w:ascii="微软雅黑" w:eastAsia="微软雅黑" w:hAnsi="微软雅黑" w:cs="宋体"/>
          <w:b/>
          <w:sz w:val="22"/>
          <w:szCs w:val="22"/>
        </w:rPr>
      </w:pPr>
      <w:bookmarkStart w:id="66" w:name="_Toc10235"/>
      <w:r>
        <w:rPr>
          <w:rFonts w:ascii="微软雅黑" w:eastAsia="微软雅黑" w:hAnsi="微软雅黑" w:cs="宋体" w:hint="eastAsia"/>
          <w:b/>
          <w:sz w:val="22"/>
          <w:szCs w:val="22"/>
        </w:rPr>
        <w:lastRenderedPageBreak/>
        <w:t>（</w:t>
      </w:r>
      <w:r>
        <w:rPr>
          <w:rFonts w:ascii="微软雅黑" w:eastAsia="微软雅黑" w:hAnsi="微软雅黑" w:cs="宋体" w:hint="eastAsia"/>
          <w:b/>
          <w:sz w:val="22"/>
          <w:szCs w:val="22"/>
        </w:rPr>
        <w:t>4</w:t>
      </w:r>
      <w:r>
        <w:rPr>
          <w:rFonts w:ascii="微软雅黑" w:eastAsia="微软雅黑" w:hAnsi="微软雅黑" w:cs="宋体" w:hint="eastAsia"/>
          <w:b/>
          <w:sz w:val="22"/>
          <w:szCs w:val="22"/>
        </w:rPr>
        <w:t>）</w:t>
      </w:r>
      <w:r>
        <w:rPr>
          <w:rFonts w:ascii="微软雅黑" w:eastAsia="微软雅黑" w:hAnsi="微软雅黑" w:cs="宋体" w:hint="eastAsia"/>
          <w:b/>
          <w:sz w:val="22"/>
          <w:szCs w:val="22"/>
        </w:rPr>
        <w:t>Requirements on Formats and Quantities of Proposal Submissions</w:t>
      </w:r>
      <w:bookmarkEnd w:id="66"/>
    </w:p>
    <w:p w:rsidR="00F267BB" w:rsidRDefault="00C85F06">
      <w:pPr>
        <w:tabs>
          <w:tab w:val="left" w:pos="426"/>
        </w:tabs>
        <w:adjustRightInd w:val="0"/>
        <w:snapToGrid w:val="0"/>
        <w:spacing w:after="0" w:line="360" w:lineRule="auto"/>
        <w:ind w:leftChars="200" w:left="420"/>
        <w:rPr>
          <w:rFonts w:ascii="微软雅黑" w:eastAsia="微软雅黑" w:hAnsi="微软雅黑" w:cs="宋体"/>
          <w:bCs/>
          <w:sz w:val="22"/>
          <w:szCs w:val="22"/>
        </w:rPr>
      </w:pPr>
      <w:r>
        <w:rPr>
          <w:rFonts w:ascii="微软雅黑" w:eastAsia="微软雅黑" w:hAnsi="微软雅黑" w:cs="宋体" w:hint="eastAsia"/>
          <w:b/>
          <w:sz w:val="24"/>
        </w:rPr>
        <w:t>1</w:t>
      </w:r>
      <w:r>
        <w:rPr>
          <w:rFonts w:ascii="微软雅黑" w:eastAsia="微软雅黑" w:hAnsi="微软雅黑" w:cs="宋体" w:hint="eastAsia"/>
          <w:b/>
          <w:sz w:val="24"/>
        </w:rPr>
        <w:t>）提案编制成果：</w:t>
      </w:r>
      <w:r>
        <w:rPr>
          <w:rFonts w:ascii="微软雅黑" w:eastAsia="微软雅黑" w:hAnsi="微软雅黑" w:cs="宋体" w:hint="eastAsia"/>
          <w:sz w:val="24"/>
        </w:rPr>
        <w:t>A4</w:t>
      </w:r>
      <w:r>
        <w:rPr>
          <w:rFonts w:ascii="微软雅黑" w:eastAsia="微软雅黑" w:hAnsi="微软雅黑" w:cs="宋体" w:hint="eastAsia"/>
          <w:sz w:val="24"/>
        </w:rPr>
        <w:t>规格（</w:t>
      </w:r>
      <w:r>
        <w:rPr>
          <w:rFonts w:ascii="微软雅黑" w:eastAsia="微软雅黑" w:hAnsi="微软雅黑" w:cs="宋体" w:hint="eastAsia"/>
          <w:sz w:val="24"/>
        </w:rPr>
        <w:t>210mm</w:t>
      </w:r>
      <w:r>
        <w:rPr>
          <w:rFonts w:ascii="微软雅黑" w:eastAsia="微软雅黑" w:hAnsi="微软雅黑" w:cs="宋体" w:hint="eastAsia"/>
          <w:sz w:val="24"/>
        </w:rPr>
        <w:t>×</w:t>
      </w:r>
      <w:r>
        <w:rPr>
          <w:rFonts w:ascii="微软雅黑" w:eastAsia="微软雅黑" w:hAnsi="微软雅黑" w:cs="宋体" w:hint="eastAsia"/>
          <w:sz w:val="24"/>
        </w:rPr>
        <w:t>297mm</w:t>
      </w:r>
      <w:r>
        <w:rPr>
          <w:rFonts w:ascii="微软雅黑" w:eastAsia="微软雅黑" w:hAnsi="微软雅黑" w:cs="宋体" w:hint="eastAsia"/>
          <w:sz w:val="24"/>
        </w:rPr>
        <w:t>），</w:t>
      </w:r>
      <w:r>
        <w:rPr>
          <w:rFonts w:ascii="微软雅黑" w:eastAsia="微软雅黑" w:hAnsi="微软雅黑" w:cs="宋体" w:hint="eastAsia"/>
          <w:sz w:val="24"/>
        </w:rPr>
        <w:t>1</w:t>
      </w:r>
      <w:r>
        <w:rPr>
          <w:rFonts w:ascii="微软雅黑" w:eastAsia="微软雅黑" w:hAnsi="微软雅黑" w:cs="宋体" w:hint="eastAsia"/>
          <w:sz w:val="24"/>
        </w:rPr>
        <w:t>正</w:t>
      </w:r>
      <w:r>
        <w:rPr>
          <w:rFonts w:ascii="微软雅黑" w:eastAsia="微软雅黑" w:hAnsi="微软雅黑" w:cs="宋体" w:hint="eastAsia"/>
          <w:sz w:val="24"/>
        </w:rPr>
        <w:t>9</w:t>
      </w:r>
      <w:r>
        <w:rPr>
          <w:rFonts w:ascii="微软雅黑" w:eastAsia="微软雅黑" w:hAnsi="微软雅黑" w:cs="宋体" w:hint="eastAsia"/>
          <w:sz w:val="24"/>
        </w:rPr>
        <w:t>副，双面打印，简装，软皮封面装订成册，并附目录。</w:t>
      </w:r>
    </w:p>
    <w:p w:rsidR="00F267BB" w:rsidRDefault="00C85F06" w:rsidP="00677E44">
      <w:pPr>
        <w:pStyle w:val="a9"/>
        <w:spacing w:before="0" w:beforeAutospacing="0" w:after="0" w:afterAutospacing="0" w:line="360" w:lineRule="auto"/>
        <w:ind w:firstLineChars="200" w:firstLine="440"/>
        <w:jc w:val="both"/>
        <w:rPr>
          <w:rFonts w:ascii="微软雅黑" w:eastAsia="微软雅黑" w:hAnsi="微软雅黑"/>
          <w:bCs/>
          <w:sz w:val="22"/>
          <w:szCs w:val="22"/>
        </w:rPr>
      </w:pPr>
      <w:r>
        <w:rPr>
          <w:rFonts w:ascii="微软雅黑" w:eastAsia="微软雅黑" w:hAnsi="微软雅黑" w:hint="eastAsia"/>
          <w:b/>
          <w:kern w:val="2"/>
          <w:sz w:val="22"/>
          <w:szCs w:val="22"/>
        </w:rPr>
        <w:t>1</w:t>
      </w:r>
      <w:r>
        <w:rPr>
          <w:rFonts w:ascii="微软雅黑" w:eastAsia="微软雅黑" w:hAnsi="微软雅黑" w:hint="eastAsia"/>
          <w:b/>
          <w:kern w:val="2"/>
          <w:sz w:val="22"/>
          <w:szCs w:val="22"/>
        </w:rPr>
        <w:t>）</w:t>
      </w:r>
      <w:r>
        <w:rPr>
          <w:rFonts w:ascii="微软雅黑" w:eastAsia="微软雅黑" w:hAnsi="微软雅黑" w:hint="eastAsia"/>
          <w:b/>
          <w:kern w:val="2"/>
          <w:sz w:val="22"/>
          <w:szCs w:val="22"/>
        </w:rPr>
        <w:t xml:space="preserve">Project Service Proposal : </w:t>
      </w:r>
      <w:r>
        <w:rPr>
          <w:rFonts w:ascii="微软雅黑" w:eastAsia="微软雅黑" w:hAnsi="微软雅黑" w:hint="eastAsia"/>
        </w:rPr>
        <w:t>A</w:t>
      </w:r>
      <w:r>
        <w:rPr>
          <w:rFonts w:ascii="微软雅黑" w:eastAsia="微软雅黑" w:hAnsi="微软雅黑" w:hint="eastAsia"/>
          <w:kern w:val="2"/>
          <w:sz w:val="22"/>
          <w:szCs w:val="22"/>
        </w:rPr>
        <w:t>4 (210mm</w:t>
      </w:r>
      <w:r>
        <w:rPr>
          <w:rFonts w:ascii="微软雅黑" w:eastAsia="微软雅黑" w:hAnsi="微软雅黑" w:hint="eastAsia"/>
          <w:kern w:val="2"/>
          <w:sz w:val="22"/>
          <w:szCs w:val="22"/>
        </w:rPr>
        <w:t>×</w:t>
      </w:r>
      <w:r>
        <w:rPr>
          <w:rFonts w:ascii="微软雅黑" w:eastAsia="微软雅黑" w:hAnsi="微软雅黑" w:hint="eastAsia"/>
          <w:kern w:val="2"/>
          <w:sz w:val="22"/>
          <w:szCs w:val="22"/>
        </w:rPr>
        <w:t>297mm)</w:t>
      </w:r>
      <w:r>
        <w:rPr>
          <w:rFonts w:ascii="微软雅黑" w:eastAsia="微软雅黑" w:hAnsi="微软雅黑" w:hint="eastAsia"/>
          <w:kern w:val="2"/>
          <w:sz w:val="22"/>
          <w:szCs w:val="22"/>
        </w:rPr>
        <w:t>，</w:t>
      </w:r>
      <w:r>
        <w:rPr>
          <w:rFonts w:ascii="微软雅黑" w:eastAsia="微软雅黑" w:hAnsi="微软雅黑" w:hint="eastAsia"/>
          <w:kern w:val="2"/>
          <w:sz w:val="22"/>
          <w:szCs w:val="22"/>
        </w:rPr>
        <w:t xml:space="preserve"> 1 original and 9 duplicates. Printing on both sides and simple binding are required. The documents will be bound into volumes with soft front cover and include the table of contents. </w:t>
      </w:r>
    </w:p>
    <w:p w:rsidR="00F267BB" w:rsidRDefault="00C85F06">
      <w:pPr>
        <w:tabs>
          <w:tab w:val="left" w:pos="426"/>
        </w:tabs>
        <w:adjustRightInd w:val="0"/>
        <w:snapToGrid w:val="0"/>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b/>
          <w:sz w:val="24"/>
        </w:rPr>
        <w:t>2</w:t>
      </w:r>
      <w:r>
        <w:rPr>
          <w:rFonts w:ascii="微软雅黑" w:eastAsia="微软雅黑" w:hAnsi="微软雅黑" w:cs="宋体" w:hint="eastAsia"/>
          <w:b/>
          <w:sz w:val="24"/>
        </w:rPr>
        <w:t>）咨询服务报价：</w:t>
      </w:r>
      <w:r>
        <w:rPr>
          <w:rFonts w:ascii="微软雅黑" w:eastAsia="微软雅黑" w:hAnsi="微软雅黑" w:cs="宋体" w:hint="eastAsia"/>
          <w:sz w:val="24"/>
        </w:rPr>
        <w:t>A4</w:t>
      </w:r>
      <w:r>
        <w:rPr>
          <w:rFonts w:ascii="微软雅黑" w:eastAsia="微软雅黑" w:hAnsi="微软雅黑" w:cs="宋体" w:hint="eastAsia"/>
          <w:sz w:val="24"/>
        </w:rPr>
        <w:t>规格（</w:t>
      </w:r>
      <w:r>
        <w:rPr>
          <w:rFonts w:ascii="微软雅黑" w:eastAsia="微软雅黑" w:hAnsi="微软雅黑" w:cs="宋体" w:hint="eastAsia"/>
          <w:sz w:val="24"/>
        </w:rPr>
        <w:t>210mm</w:t>
      </w:r>
      <w:r>
        <w:rPr>
          <w:rFonts w:ascii="微软雅黑" w:eastAsia="微软雅黑" w:hAnsi="微软雅黑" w:cs="宋体" w:hint="eastAsia"/>
          <w:sz w:val="24"/>
        </w:rPr>
        <w:t>×</w:t>
      </w:r>
      <w:r>
        <w:rPr>
          <w:rFonts w:ascii="微软雅黑" w:eastAsia="微软雅黑" w:hAnsi="微软雅黑" w:cs="宋体" w:hint="eastAsia"/>
          <w:sz w:val="24"/>
        </w:rPr>
        <w:t>297mm</w:t>
      </w:r>
      <w:r>
        <w:rPr>
          <w:rFonts w:ascii="微软雅黑" w:eastAsia="微软雅黑" w:hAnsi="微软雅黑" w:cs="宋体" w:hint="eastAsia"/>
          <w:sz w:val="24"/>
        </w:rPr>
        <w:t>），</w:t>
      </w:r>
      <w:r>
        <w:rPr>
          <w:rFonts w:ascii="微软雅黑" w:eastAsia="微软雅黑" w:hAnsi="微软雅黑" w:cs="宋体" w:hint="eastAsia"/>
          <w:sz w:val="24"/>
        </w:rPr>
        <w:t>1</w:t>
      </w:r>
      <w:r>
        <w:rPr>
          <w:rFonts w:ascii="微软雅黑" w:eastAsia="微软雅黑" w:hAnsi="微软雅黑" w:cs="宋体" w:hint="eastAsia"/>
          <w:sz w:val="24"/>
        </w:rPr>
        <w:t>份，单独密封，随提案编制成果一起提交。</w:t>
      </w:r>
    </w:p>
    <w:p w:rsidR="00F267BB" w:rsidRDefault="00C85F06">
      <w:pPr>
        <w:tabs>
          <w:tab w:val="left" w:pos="426"/>
        </w:tabs>
        <w:adjustRightInd w:val="0"/>
        <w:snapToGrid w:val="0"/>
        <w:spacing w:after="0" w:line="360" w:lineRule="auto"/>
        <w:ind w:firstLineChars="200" w:firstLine="440"/>
        <w:rPr>
          <w:rFonts w:ascii="微软雅黑" w:eastAsia="微软雅黑" w:hAnsi="微软雅黑" w:cs="宋体"/>
          <w:bCs/>
          <w:sz w:val="22"/>
          <w:szCs w:val="22"/>
        </w:rPr>
      </w:pPr>
      <w:r>
        <w:rPr>
          <w:rFonts w:ascii="微软雅黑" w:eastAsia="微软雅黑" w:hAnsi="微软雅黑" w:cs="宋体" w:hint="eastAsia"/>
          <w:b/>
          <w:sz w:val="22"/>
          <w:szCs w:val="22"/>
        </w:rPr>
        <w:t>2</w:t>
      </w:r>
      <w:r>
        <w:rPr>
          <w:rFonts w:ascii="微软雅黑" w:eastAsia="微软雅黑" w:hAnsi="微软雅黑" w:cs="宋体" w:hint="eastAsia"/>
          <w:b/>
          <w:sz w:val="22"/>
          <w:szCs w:val="22"/>
        </w:rPr>
        <w:t>）</w:t>
      </w:r>
      <w:r>
        <w:rPr>
          <w:rFonts w:ascii="微软雅黑" w:eastAsia="微软雅黑" w:hAnsi="微软雅黑" w:cs="宋体" w:hint="eastAsia"/>
          <w:b/>
          <w:sz w:val="22"/>
          <w:szCs w:val="22"/>
        </w:rPr>
        <w:t>Consu</w:t>
      </w:r>
      <w:r>
        <w:rPr>
          <w:rFonts w:ascii="微软雅黑" w:eastAsia="微软雅黑" w:hAnsi="微软雅黑" w:cs="宋体" w:hint="eastAsia"/>
          <w:b/>
          <w:sz w:val="22"/>
          <w:szCs w:val="22"/>
        </w:rPr>
        <w:t>lting service quotation:</w:t>
      </w:r>
      <w:r>
        <w:rPr>
          <w:rFonts w:ascii="微软雅黑" w:eastAsia="微软雅黑" w:hAnsi="微软雅黑" w:cs="宋体" w:hint="eastAsia"/>
          <w:sz w:val="24"/>
        </w:rPr>
        <w:t xml:space="preserve"> </w:t>
      </w:r>
      <w:r>
        <w:rPr>
          <w:rFonts w:ascii="微软雅黑" w:eastAsia="微软雅黑" w:hAnsi="微软雅黑" w:cs="宋体" w:hint="eastAsia"/>
          <w:sz w:val="22"/>
          <w:szCs w:val="22"/>
        </w:rPr>
        <w:t xml:space="preserve">A4(210mm </w:t>
      </w:r>
      <w:r>
        <w:rPr>
          <w:rFonts w:ascii="微软雅黑" w:eastAsia="微软雅黑" w:hAnsi="微软雅黑" w:cs="宋体" w:hint="eastAsia"/>
          <w:sz w:val="22"/>
          <w:szCs w:val="22"/>
        </w:rPr>
        <w:t>×</w:t>
      </w:r>
      <w:r>
        <w:rPr>
          <w:rFonts w:ascii="微软雅黑" w:eastAsia="微软雅黑" w:hAnsi="微软雅黑" w:cs="宋体" w:hint="eastAsia"/>
          <w:sz w:val="22"/>
          <w:szCs w:val="22"/>
        </w:rPr>
        <w:t xml:space="preserve">297mm), 1 copy, sealed separately and submitted with the project service proposal. </w:t>
      </w:r>
    </w:p>
    <w:p w:rsidR="00F267BB" w:rsidRDefault="00C85F06">
      <w:pPr>
        <w:tabs>
          <w:tab w:val="left" w:pos="426"/>
        </w:tabs>
        <w:adjustRightInd w:val="0"/>
        <w:snapToGrid w:val="0"/>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b/>
          <w:sz w:val="24"/>
        </w:rPr>
        <w:t>3</w:t>
      </w:r>
      <w:r>
        <w:rPr>
          <w:rFonts w:ascii="微软雅黑" w:eastAsia="微软雅黑" w:hAnsi="微软雅黑" w:cs="宋体" w:hint="eastAsia"/>
          <w:b/>
          <w:sz w:val="24"/>
        </w:rPr>
        <w:t>）电子文件：</w:t>
      </w:r>
      <w:r>
        <w:rPr>
          <w:rFonts w:ascii="微软雅黑" w:eastAsia="微软雅黑" w:hAnsi="微软雅黑" w:cs="宋体" w:hint="eastAsia"/>
          <w:sz w:val="24"/>
        </w:rPr>
        <w:t>U</w:t>
      </w:r>
      <w:r>
        <w:rPr>
          <w:rFonts w:ascii="微软雅黑" w:eastAsia="微软雅黑" w:hAnsi="微软雅黑" w:cs="宋体" w:hint="eastAsia"/>
          <w:sz w:val="24"/>
        </w:rPr>
        <w:t>盘及光盘各提交一份，含提案编制成果电子版（</w:t>
      </w:r>
      <w:r>
        <w:rPr>
          <w:rFonts w:ascii="微软雅黑" w:eastAsia="微软雅黑" w:hAnsi="微软雅黑" w:cs="宋体" w:hint="eastAsia"/>
          <w:sz w:val="24"/>
        </w:rPr>
        <w:t>PPT</w:t>
      </w:r>
      <w:r>
        <w:rPr>
          <w:rFonts w:ascii="微软雅黑" w:eastAsia="微软雅黑" w:hAnsi="微软雅黑" w:cs="宋体" w:hint="eastAsia"/>
          <w:sz w:val="24"/>
        </w:rPr>
        <w:t>、</w:t>
      </w:r>
      <w:r>
        <w:rPr>
          <w:rFonts w:ascii="微软雅黑" w:eastAsia="微软雅黑" w:hAnsi="微软雅黑" w:cs="宋体" w:hint="eastAsia"/>
          <w:sz w:val="24"/>
        </w:rPr>
        <w:t>doc</w:t>
      </w:r>
      <w:r>
        <w:rPr>
          <w:rFonts w:ascii="微软雅黑" w:eastAsia="微软雅黑" w:hAnsi="微软雅黑" w:cs="宋体" w:hint="eastAsia"/>
          <w:sz w:val="24"/>
        </w:rPr>
        <w:t>文件或可编辑的</w:t>
      </w:r>
      <w:r>
        <w:rPr>
          <w:rFonts w:ascii="微软雅黑" w:eastAsia="微软雅黑" w:hAnsi="微软雅黑" w:cs="宋体" w:hint="eastAsia"/>
          <w:sz w:val="24"/>
        </w:rPr>
        <w:t>PDF</w:t>
      </w:r>
      <w:r>
        <w:rPr>
          <w:rFonts w:ascii="微软雅黑" w:eastAsia="微软雅黑" w:hAnsi="微软雅黑" w:cs="宋体" w:hint="eastAsia"/>
          <w:sz w:val="24"/>
        </w:rPr>
        <w:t>文件）、咨询服务报价电子版（不可编辑的图片文件或</w:t>
      </w:r>
      <w:r>
        <w:rPr>
          <w:rFonts w:ascii="微软雅黑" w:eastAsia="微软雅黑" w:hAnsi="微软雅黑" w:cs="宋体" w:hint="eastAsia"/>
          <w:sz w:val="24"/>
        </w:rPr>
        <w:t>PDF</w:t>
      </w:r>
      <w:r>
        <w:rPr>
          <w:rFonts w:ascii="微软雅黑" w:eastAsia="微软雅黑" w:hAnsi="微软雅黑" w:cs="宋体" w:hint="eastAsia"/>
          <w:sz w:val="24"/>
        </w:rPr>
        <w:t>文件）、多媒体演示系统（</w:t>
      </w:r>
      <w:r>
        <w:rPr>
          <w:rFonts w:ascii="微软雅黑" w:eastAsia="微软雅黑" w:hAnsi="微软雅黑" w:cs="宋体" w:hint="eastAsia"/>
          <w:sz w:val="24"/>
        </w:rPr>
        <w:t>MP4</w:t>
      </w:r>
      <w:r>
        <w:rPr>
          <w:rFonts w:ascii="微软雅黑" w:eastAsia="微软雅黑" w:hAnsi="微软雅黑" w:cs="宋体" w:hint="eastAsia"/>
          <w:sz w:val="24"/>
        </w:rPr>
        <w:t>、</w:t>
      </w:r>
      <w:r>
        <w:rPr>
          <w:rFonts w:ascii="微软雅黑" w:eastAsia="微软雅黑" w:hAnsi="微软雅黑" w:cs="宋体" w:hint="eastAsia"/>
          <w:sz w:val="24"/>
        </w:rPr>
        <w:t>AVI</w:t>
      </w:r>
      <w:r>
        <w:rPr>
          <w:rFonts w:ascii="微软雅黑" w:eastAsia="微软雅黑" w:hAnsi="微软雅黑" w:cs="宋体" w:hint="eastAsia"/>
          <w:sz w:val="24"/>
        </w:rPr>
        <w:t>或</w:t>
      </w:r>
      <w:r>
        <w:rPr>
          <w:rFonts w:ascii="微软雅黑" w:eastAsia="微软雅黑" w:hAnsi="微软雅黑" w:cs="宋体" w:hint="eastAsia"/>
          <w:sz w:val="24"/>
        </w:rPr>
        <w:t>WMV</w:t>
      </w:r>
      <w:r>
        <w:rPr>
          <w:rFonts w:ascii="微软雅黑" w:eastAsia="微软雅黑" w:hAnsi="微软雅黑" w:cs="宋体" w:hint="eastAsia"/>
          <w:sz w:val="24"/>
        </w:rPr>
        <w:t>格式），现场汇报演示文件（</w:t>
      </w:r>
      <w:r>
        <w:rPr>
          <w:rFonts w:ascii="微软雅黑" w:eastAsia="微软雅黑" w:hAnsi="微软雅黑" w:cs="宋体" w:hint="eastAsia"/>
          <w:sz w:val="24"/>
        </w:rPr>
        <w:t>PPT</w:t>
      </w:r>
      <w:r>
        <w:rPr>
          <w:rFonts w:ascii="微软雅黑" w:eastAsia="微软雅黑" w:hAnsi="微软雅黑" w:cs="宋体" w:hint="eastAsia"/>
          <w:sz w:val="24"/>
        </w:rPr>
        <w:t>或其他）等，随提案编制成果一起提交。</w:t>
      </w:r>
    </w:p>
    <w:p w:rsidR="00F267BB" w:rsidRDefault="00C85F06">
      <w:pPr>
        <w:tabs>
          <w:tab w:val="left" w:pos="426"/>
        </w:tabs>
        <w:adjustRightInd w:val="0"/>
        <w:snapToGrid w:val="0"/>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b/>
          <w:sz w:val="22"/>
          <w:szCs w:val="22"/>
        </w:rPr>
        <w:t>3</w:t>
      </w:r>
      <w:r>
        <w:rPr>
          <w:rFonts w:ascii="微软雅黑" w:eastAsia="微软雅黑" w:hAnsi="微软雅黑" w:cs="宋体" w:hint="eastAsia"/>
          <w:b/>
          <w:sz w:val="22"/>
          <w:szCs w:val="22"/>
        </w:rPr>
        <w:t>）</w:t>
      </w:r>
      <w:r>
        <w:rPr>
          <w:rFonts w:ascii="微软雅黑" w:eastAsia="微软雅黑" w:hAnsi="微软雅黑" w:cs="宋体" w:hint="eastAsia"/>
          <w:b/>
          <w:sz w:val="22"/>
          <w:szCs w:val="22"/>
        </w:rPr>
        <w:t>Elec</w:t>
      </w:r>
      <w:r>
        <w:rPr>
          <w:rFonts w:ascii="微软雅黑" w:eastAsia="微软雅黑" w:hAnsi="微软雅黑" w:cs="宋体" w:hint="eastAsia"/>
          <w:b/>
          <w:sz w:val="22"/>
          <w:szCs w:val="22"/>
        </w:rPr>
        <w:t>tronic files</w:t>
      </w:r>
      <w:r>
        <w:rPr>
          <w:rFonts w:ascii="微软雅黑" w:eastAsia="微软雅黑" w:hAnsi="微软雅黑" w:cs="宋体" w:hint="eastAsia"/>
          <w:b/>
          <w:sz w:val="22"/>
          <w:szCs w:val="22"/>
        </w:rPr>
        <w:t>：</w:t>
      </w:r>
      <w:r>
        <w:rPr>
          <w:rFonts w:ascii="微软雅黑" w:eastAsia="微软雅黑" w:hAnsi="微软雅黑" w:cs="宋体" w:hint="eastAsia"/>
          <w:sz w:val="22"/>
          <w:szCs w:val="22"/>
        </w:rPr>
        <w:t>one copy of USB and CD-ROM respectively, including proposal preparation deliverables in electronic form ( PPT, doc file or editable PDF file), consulting service quotation in electronic form (uneditable picture files or PDF file), multimedia p</w:t>
      </w:r>
      <w:r>
        <w:rPr>
          <w:rFonts w:ascii="微软雅黑" w:eastAsia="微软雅黑" w:hAnsi="微软雅黑" w:cs="宋体" w:hint="eastAsia"/>
          <w:sz w:val="22"/>
          <w:szCs w:val="22"/>
        </w:rPr>
        <w:t xml:space="preserve">resentation system (in MP4, AVI or WMV formats), on-site presentation files (in PPT or PDF format) and etc., submitted with the project service proposal. </w:t>
      </w:r>
    </w:p>
    <w:p w:rsidR="00F267BB" w:rsidRDefault="00C85F06">
      <w:pPr>
        <w:pStyle w:val="af1"/>
        <w:tabs>
          <w:tab w:val="left" w:pos="1060"/>
        </w:tabs>
        <w:spacing w:afterLines="50" w:after="156" w:line="560" w:lineRule="exact"/>
        <w:ind w:left="420" w:firstLineChars="0" w:firstLine="0"/>
        <w:outlineLvl w:val="0"/>
        <w:rPr>
          <w:rFonts w:ascii="微软雅黑" w:eastAsia="微软雅黑" w:hAnsi="微软雅黑" w:cs="宋体"/>
          <w:b/>
          <w:sz w:val="24"/>
        </w:rPr>
      </w:pPr>
      <w:bookmarkStart w:id="67" w:name="_Toc23166_WPSOffice_Level2"/>
      <w:bookmarkStart w:id="68" w:name="_Toc8028"/>
      <w:r>
        <w:rPr>
          <w:rFonts w:ascii="微软雅黑" w:eastAsia="微软雅黑" w:hAnsi="微软雅黑" w:cs="宋体" w:hint="eastAsia"/>
          <w:b/>
          <w:sz w:val="24"/>
        </w:rPr>
        <w:t>（</w:t>
      </w:r>
      <w:r>
        <w:rPr>
          <w:rFonts w:ascii="微软雅黑" w:eastAsia="微软雅黑" w:hAnsi="微软雅黑" w:cs="宋体" w:hint="eastAsia"/>
          <w:b/>
          <w:sz w:val="24"/>
        </w:rPr>
        <w:t>5</w:t>
      </w:r>
      <w:r>
        <w:rPr>
          <w:rFonts w:ascii="微软雅黑" w:eastAsia="微软雅黑" w:hAnsi="微软雅黑" w:cs="宋体" w:hint="eastAsia"/>
          <w:b/>
          <w:sz w:val="24"/>
        </w:rPr>
        <w:t>）咨询服务阶段，本次国际咨询第一名中标单位需提交的成果</w:t>
      </w:r>
      <w:bookmarkEnd w:id="67"/>
      <w:r>
        <w:rPr>
          <w:rFonts w:ascii="微软雅黑" w:eastAsia="微软雅黑" w:hAnsi="微软雅黑" w:cs="宋体" w:hint="eastAsia"/>
          <w:b/>
          <w:sz w:val="24"/>
        </w:rPr>
        <w:t>文件</w:t>
      </w:r>
      <w:bookmarkEnd w:id="68"/>
    </w:p>
    <w:p w:rsidR="00F267BB" w:rsidRDefault="00C85F06" w:rsidP="00677E44">
      <w:pPr>
        <w:pStyle w:val="af1"/>
        <w:spacing w:afterLines="50" w:after="156" w:line="560" w:lineRule="exact"/>
        <w:ind w:left="420" w:firstLineChars="0" w:firstLine="0"/>
        <w:outlineLvl w:val="0"/>
        <w:rPr>
          <w:rFonts w:ascii="微软雅黑" w:eastAsia="微软雅黑" w:hAnsi="微软雅黑" w:cs="宋体"/>
          <w:b/>
          <w:sz w:val="22"/>
          <w:szCs w:val="22"/>
        </w:rPr>
      </w:pPr>
      <w:bookmarkStart w:id="69" w:name="_Toc18301"/>
      <w:r>
        <w:rPr>
          <w:rFonts w:ascii="微软雅黑" w:eastAsia="微软雅黑" w:hAnsi="微软雅黑" w:cs="宋体" w:hint="eastAsia"/>
          <w:b/>
          <w:sz w:val="22"/>
          <w:szCs w:val="22"/>
        </w:rPr>
        <w:lastRenderedPageBreak/>
        <w:t>（</w:t>
      </w:r>
      <w:r>
        <w:rPr>
          <w:rFonts w:ascii="微软雅黑" w:eastAsia="微软雅黑" w:hAnsi="微软雅黑" w:cs="宋体" w:hint="eastAsia"/>
          <w:b/>
          <w:sz w:val="22"/>
          <w:szCs w:val="22"/>
        </w:rPr>
        <w:t>5</w:t>
      </w:r>
      <w:r>
        <w:rPr>
          <w:rFonts w:ascii="微软雅黑" w:eastAsia="微软雅黑" w:hAnsi="微软雅黑" w:cs="宋体" w:hint="eastAsia"/>
          <w:b/>
          <w:sz w:val="22"/>
          <w:szCs w:val="22"/>
        </w:rPr>
        <w:t>）</w:t>
      </w:r>
      <w:r>
        <w:rPr>
          <w:rFonts w:ascii="微软雅黑" w:eastAsia="微软雅黑" w:hAnsi="微软雅黑" w:cs="宋体" w:hint="eastAsia"/>
          <w:b/>
          <w:sz w:val="22"/>
          <w:szCs w:val="22"/>
        </w:rPr>
        <w:t xml:space="preserve">Consulting Service Phase, the Submissions for first place </w:t>
      </w:r>
      <w:r>
        <w:rPr>
          <w:rFonts w:ascii="微软雅黑" w:eastAsia="微软雅黑" w:hAnsi="微软雅黑" w:cs="宋体" w:hint="eastAsia"/>
          <w:b/>
          <w:sz w:val="22"/>
          <w:szCs w:val="22"/>
        </w:rPr>
        <w:t>bid-winning of the international consultation</w:t>
      </w:r>
      <w:bookmarkEnd w:id="69"/>
    </w:p>
    <w:p w:rsidR="00F267BB" w:rsidRDefault="00C85F06">
      <w:pPr>
        <w:tabs>
          <w:tab w:val="left" w:pos="426"/>
        </w:tabs>
        <w:adjustRightInd w:val="0"/>
        <w:snapToGrid w:val="0"/>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本次国际咨询第一名中标单位最终完成的成果文件包含但不限于以下报告：</w:t>
      </w:r>
    </w:p>
    <w:p w:rsidR="00F267BB" w:rsidRDefault="00C85F06" w:rsidP="00677E44">
      <w:pPr>
        <w:pStyle w:val="a9"/>
        <w:spacing w:before="0" w:beforeAutospacing="0" w:after="0" w:afterAutospacing="0" w:line="360" w:lineRule="auto"/>
        <w:ind w:firstLineChars="200" w:firstLine="440"/>
        <w:jc w:val="both"/>
        <w:rPr>
          <w:rFonts w:ascii="微软雅黑" w:eastAsia="微软雅黑" w:hAnsi="微软雅黑"/>
          <w:kern w:val="2"/>
          <w:sz w:val="22"/>
          <w:szCs w:val="22"/>
        </w:rPr>
      </w:pPr>
      <w:r>
        <w:rPr>
          <w:rFonts w:ascii="微软雅黑" w:eastAsia="微软雅黑" w:hAnsi="微软雅黑" w:hint="eastAsia"/>
          <w:kern w:val="2"/>
          <w:sz w:val="22"/>
          <w:szCs w:val="22"/>
        </w:rPr>
        <w:t>Submissions for the first place, bid-winning firms should include but not limit to the following reports:</w:t>
      </w:r>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b/>
          <w:sz w:val="24"/>
        </w:rPr>
        <w:t>总报告：</w:t>
      </w:r>
      <w:r>
        <w:rPr>
          <w:rFonts w:ascii="微软雅黑" w:eastAsia="微软雅黑" w:hAnsi="微软雅黑" w:cs="宋体" w:hint="eastAsia"/>
          <w:sz w:val="24"/>
        </w:rPr>
        <w:t>《深圳湾超级总部基地片区统筹开发建设与运营专题报告》（</w:t>
      </w:r>
      <w:r>
        <w:rPr>
          <w:rFonts w:ascii="微软雅黑" w:eastAsia="微软雅黑" w:hAnsi="微软雅黑" w:cs="宋体" w:hint="eastAsia"/>
          <w:sz w:val="24"/>
        </w:rPr>
        <w:t>PPT</w:t>
      </w:r>
      <w:r>
        <w:rPr>
          <w:rFonts w:ascii="微软雅黑" w:eastAsia="微软雅黑" w:hAnsi="微软雅黑" w:cs="宋体" w:hint="eastAsia"/>
          <w:sz w:val="24"/>
        </w:rPr>
        <w:t>版本及</w:t>
      </w:r>
      <w:r>
        <w:rPr>
          <w:rFonts w:ascii="微软雅黑" w:eastAsia="微软雅黑" w:hAnsi="微软雅黑" w:cs="宋体" w:hint="eastAsia"/>
          <w:sz w:val="24"/>
        </w:rPr>
        <w:t>word</w:t>
      </w:r>
      <w:r>
        <w:rPr>
          <w:rFonts w:ascii="微软雅黑" w:eastAsia="微软雅黑" w:hAnsi="微软雅黑" w:cs="宋体" w:hint="eastAsia"/>
          <w:sz w:val="24"/>
        </w:rPr>
        <w:t>版本）</w:t>
      </w:r>
    </w:p>
    <w:p w:rsidR="00F267BB" w:rsidRDefault="00C85F06" w:rsidP="00677E44">
      <w:pPr>
        <w:adjustRightInd w:val="0"/>
        <w:snapToGrid w:val="0"/>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b/>
          <w:sz w:val="22"/>
          <w:szCs w:val="22"/>
        </w:rPr>
        <w:t>General Report:</w:t>
      </w:r>
      <w:r>
        <w:rPr>
          <w:rFonts w:ascii="微软雅黑" w:eastAsia="微软雅黑" w:hAnsi="微软雅黑" w:cs="宋体" w:hint="eastAsia"/>
          <w:sz w:val="22"/>
          <w:szCs w:val="22"/>
        </w:rPr>
        <w:t xml:space="preserve">&lt;Special </w:t>
      </w:r>
      <w:r>
        <w:rPr>
          <w:rFonts w:ascii="微软雅黑" w:eastAsia="微软雅黑" w:hAnsi="微软雅黑" w:cs="宋体" w:hint="eastAsia"/>
          <w:sz w:val="22"/>
          <w:szCs w:val="22"/>
        </w:rPr>
        <w:t>Report on Overall Planning</w:t>
      </w:r>
      <w:r>
        <w:rPr>
          <w:rFonts w:ascii="微软雅黑" w:eastAsia="微软雅黑" w:hAnsi="微软雅黑" w:cs="宋体" w:hint="eastAsia"/>
          <w:sz w:val="22"/>
          <w:szCs w:val="22"/>
        </w:rPr>
        <w:t>，</w:t>
      </w:r>
      <w:r>
        <w:rPr>
          <w:rFonts w:ascii="微软雅黑" w:eastAsia="微软雅黑" w:hAnsi="微软雅黑" w:cs="宋体" w:hint="eastAsia"/>
          <w:sz w:val="22"/>
          <w:szCs w:val="22"/>
        </w:rPr>
        <w:t>Development and Operation of Shenzhen Bay Super Headquarters Base&gt; (PPT or Word format)</w:t>
      </w:r>
    </w:p>
    <w:p w:rsidR="00F267BB" w:rsidRDefault="00C85F06">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b/>
          <w:sz w:val="24"/>
        </w:rPr>
        <w:t>分报告包括：</w:t>
      </w:r>
      <w:r>
        <w:rPr>
          <w:rFonts w:ascii="微软雅黑" w:eastAsia="微软雅黑" w:hAnsi="微软雅黑" w:cs="宋体" w:hint="eastAsia"/>
          <w:sz w:val="24"/>
        </w:rPr>
        <w:t>《对标借鉴案例研究报告》（</w:t>
      </w:r>
      <w:r>
        <w:rPr>
          <w:rFonts w:ascii="微软雅黑" w:eastAsia="微软雅黑" w:hAnsi="微软雅黑" w:cs="宋体" w:hint="eastAsia"/>
          <w:sz w:val="24"/>
        </w:rPr>
        <w:t>PPT</w:t>
      </w:r>
      <w:r>
        <w:rPr>
          <w:rFonts w:ascii="微软雅黑" w:eastAsia="微软雅黑" w:hAnsi="微软雅黑" w:cs="宋体" w:hint="eastAsia"/>
          <w:sz w:val="24"/>
        </w:rPr>
        <w:t>版本及</w:t>
      </w:r>
      <w:r>
        <w:rPr>
          <w:rFonts w:ascii="微软雅黑" w:eastAsia="微软雅黑" w:hAnsi="微软雅黑" w:cs="宋体" w:hint="eastAsia"/>
          <w:sz w:val="24"/>
        </w:rPr>
        <w:t>word</w:t>
      </w:r>
      <w:r>
        <w:rPr>
          <w:rFonts w:ascii="微软雅黑" w:eastAsia="微软雅黑" w:hAnsi="微软雅黑" w:cs="宋体" w:hint="eastAsia"/>
          <w:sz w:val="24"/>
        </w:rPr>
        <w:t>版本）、《中央绿轴、地标地块及地上地下公共区域专项研究报告》（</w:t>
      </w:r>
      <w:r>
        <w:rPr>
          <w:rFonts w:ascii="微软雅黑" w:eastAsia="微软雅黑" w:hAnsi="微软雅黑" w:cs="宋体" w:hint="eastAsia"/>
          <w:sz w:val="24"/>
        </w:rPr>
        <w:t>PPT</w:t>
      </w:r>
      <w:r>
        <w:rPr>
          <w:rFonts w:ascii="微软雅黑" w:eastAsia="微软雅黑" w:hAnsi="微软雅黑" w:cs="宋体" w:hint="eastAsia"/>
          <w:sz w:val="24"/>
        </w:rPr>
        <w:t>版本及</w:t>
      </w:r>
      <w:r>
        <w:rPr>
          <w:rFonts w:ascii="微软雅黑" w:eastAsia="微软雅黑" w:hAnsi="微软雅黑" w:cs="宋体" w:hint="eastAsia"/>
          <w:sz w:val="24"/>
        </w:rPr>
        <w:t>word</w:t>
      </w:r>
      <w:r>
        <w:rPr>
          <w:rFonts w:ascii="微软雅黑" w:eastAsia="微软雅黑" w:hAnsi="微软雅黑" w:cs="宋体" w:hint="eastAsia"/>
          <w:sz w:val="24"/>
        </w:rPr>
        <w:t>版本）、《片区文化、商业发展规划》</w:t>
      </w:r>
      <w:r>
        <w:rPr>
          <w:rFonts w:ascii="微软雅黑" w:eastAsia="微软雅黑" w:hAnsi="微软雅黑" w:cs="宋体" w:hint="eastAsia"/>
          <w:sz w:val="24"/>
        </w:rPr>
        <w:t>(PPT</w:t>
      </w:r>
      <w:r>
        <w:rPr>
          <w:rFonts w:ascii="微软雅黑" w:eastAsia="微软雅黑" w:hAnsi="微软雅黑" w:cs="宋体" w:hint="eastAsia"/>
          <w:sz w:val="24"/>
        </w:rPr>
        <w:t>版本及</w:t>
      </w:r>
      <w:r>
        <w:rPr>
          <w:rFonts w:ascii="微软雅黑" w:eastAsia="微软雅黑" w:hAnsi="微软雅黑" w:cs="宋体" w:hint="eastAsia"/>
          <w:sz w:val="24"/>
        </w:rPr>
        <w:t>word</w:t>
      </w:r>
      <w:r>
        <w:rPr>
          <w:rFonts w:ascii="微软雅黑" w:eastAsia="微软雅黑" w:hAnsi="微软雅黑" w:cs="宋体" w:hint="eastAsia"/>
          <w:sz w:val="24"/>
        </w:rPr>
        <w:t>版本</w:t>
      </w:r>
      <w:r>
        <w:rPr>
          <w:rFonts w:ascii="微软雅黑" w:eastAsia="微软雅黑" w:hAnsi="微软雅黑" w:cs="宋体" w:hint="eastAsia"/>
          <w:sz w:val="24"/>
        </w:rPr>
        <w:t>)</w:t>
      </w:r>
      <w:r>
        <w:rPr>
          <w:rFonts w:ascii="微软雅黑" w:eastAsia="微软雅黑" w:hAnsi="微软雅黑" w:cs="宋体" w:hint="eastAsia"/>
          <w:sz w:val="24"/>
        </w:rPr>
        <w:t>、《片区开发运营实施策略研究报告》（</w:t>
      </w:r>
      <w:r>
        <w:rPr>
          <w:rFonts w:ascii="微软雅黑" w:eastAsia="微软雅黑" w:hAnsi="微软雅黑" w:cs="宋体" w:hint="eastAsia"/>
          <w:sz w:val="24"/>
        </w:rPr>
        <w:t>PPT</w:t>
      </w:r>
      <w:r>
        <w:rPr>
          <w:rFonts w:ascii="微软雅黑" w:eastAsia="微软雅黑" w:hAnsi="微软雅黑" w:cs="宋体" w:hint="eastAsia"/>
          <w:sz w:val="24"/>
        </w:rPr>
        <w:t>版本及</w:t>
      </w:r>
      <w:r>
        <w:rPr>
          <w:rFonts w:ascii="微软雅黑" w:eastAsia="微软雅黑" w:hAnsi="微软雅黑" w:cs="宋体" w:hint="eastAsia"/>
          <w:sz w:val="24"/>
        </w:rPr>
        <w:t>word</w:t>
      </w:r>
      <w:r>
        <w:rPr>
          <w:rFonts w:ascii="微软雅黑" w:eastAsia="微软雅黑" w:hAnsi="微软雅黑" w:cs="宋体" w:hint="eastAsia"/>
          <w:sz w:val="24"/>
        </w:rPr>
        <w:t>版本）、《片区财务测算报</w:t>
      </w:r>
      <w:r>
        <w:rPr>
          <w:rFonts w:ascii="微软雅黑" w:eastAsia="微软雅黑" w:hAnsi="微软雅黑" w:cs="宋体" w:hint="eastAsia"/>
          <w:sz w:val="24"/>
        </w:rPr>
        <w:t>告》（</w:t>
      </w:r>
      <w:r>
        <w:rPr>
          <w:rFonts w:ascii="微软雅黑" w:eastAsia="微软雅黑" w:hAnsi="微软雅黑" w:cs="宋体" w:hint="eastAsia"/>
          <w:sz w:val="24"/>
        </w:rPr>
        <w:t>word</w:t>
      </w:r>
      <w:r>
        <w:rPr>
          <w:rFonts w:ascii="微软雅黑" w:eastAsia="微软雅黑" w:hAnsi="微软雅黑" w:cs="宋体" w:hint="eastAsia"/>
          <w:sz w:val="24"/>
        </w:rPr>
        <w:t>和</w:t>
      </w:r>
      <w:r>
        <w:rPr>
          <w:rFonts w:ascii="微软雅黑" w:eastAsia="微软雅黑" w:hAnsi="微软雅黑" w:cs="宋体" w:hint="eastAsia"/>
          <w:sz w:val="24"/>
        </w:rPr>
        <w:t>EXCEL</w:t>
      </w:r>
      <w:r>
        <w:rPr>
          <w:rFonts w:ascii="微软雅黑" w:eastAsia="微软雅黑" w:hAnsi="微软雅黑" w:cs="宋体" w:hint="eastAsia"/>
          <w:sz w:val="24"/>
        </w:rPr>
        <w:t>版本）。</w:t>
      </w:r>
    </w:p>
    <w:p w:rsidR="00F267BB" w:rsidRDefault="00C85F06" w:rsidP="00677E44">
      <w:pPr>
        <w:adjustRightInd w:val="0"/>
        <w:snapToGrid w:val="0"/>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b/>
          <w:sz w:val="22"/>
          <w:szCs w:val="22"/>
        </w:rPr>
        <w:t xml:space="preserve">Sub Report includes: </w:t>
      </w:r>
      <w:r>
        <w:rPr>
          <w:rFonts w:ascii="微软雅黑" w:eastAsia="微软雅黑" w:hAnsi="微软雅黑" w:cs="宋体" w:hint="eastAsia"/>
          <w:sz w:val="22"/>
          <w:szCs w:val="22"/>
        </w:rPr>
        <w:t>&lt;Benchmarking and Case Study Report&gt;(PPT or Word format), &lt;Central Green Axis, landmark plot and aboveground and underground public area study report&gt;(PPT or Word format), &lt;Regional Cultural and Commercial Development</w:t>
      </w:r>
      <w:r>
        <w:rPr>
          <w:rFonts w:ascii="微软雅黑" w:eastAsia="微软雅黑" w:hAnsi="微软雅黑" w:cs="宋体" w:hint="eastAsia"/>
          <w:sz w:val="22"/>
          <w:szCs w:val="22"/>
        </w:rPr>
        <w:t xml:space="preserve"> Planning&gt;(PPT or Word format), &lt;Implementation Strategy of Regional Development and Operation Study Report&gt;(PPT or Word format), &lt;Regional Financial Projection Report&gt;(PPT or Word format)</w:t>
      </w:r>
      <w:bookmarkStart w:id="70" w:name="_GoBack"/>
      <w:bookmarkEnd w:id="6"/>
      <w:bookmarkEnd w:id="7"/>
      <w:bookmarkEnd w:id="8"/>
      <w:bookmarkEnd w:id="9"/>
      <w:bookmarkEnd w:id="10"/>
      <w:bookmarkEnd w:id="11"/>
      <w:bookmarkEnd w:id="70"/>
    </w:p>
    <w:sectPr w:rsidR="00F267BB">
      <w:footerReference w:type="default" r:id="rId17"/>
      <w:footerReference w:type="first" r:id="rId18"/>
      <w:pgSz w:w="11906" w:h="16838"/>
      <w:pgMar w:top="1440" w:right="1800" w:bottom="1440" w:left="1800" w:header="851" w:footer="992" w:gutter="0"/>
      <w:pgNumType w:start="1"/>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F06" w:rsidRDefault="00C85F06">
      <w:pPr>
        <w:spacing w:after="0" w:line="240" w:lineRule="auto"/>
      </w:pPr>
      <w:r>
        <w:separator/>
      </w:r>
    </w:p>
  </w:endnote>
  <w:endnote w:type="continuationSeparator" w:id="0">
    <w:p w:rsidR="00C85F06" w:rsidRDefault="00C85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Futura">
    <w:altName w:val="Arial"/>
    <w:charset w:val="00"/>
    <w:family w:val="auto"/>
    <w:pitch w:val="default"/>
    <w:sig w:usb0="00000000"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7BB" w:rsidRDefault="00C85F06">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F267BB" w:rsidRDefault="00F267B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7BB" w:rsidRDefault="00F267B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7BB" w:rsidRDefault="00F267BB">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7BB" w:rsidRDefault="00C85F06">
    <w:pPr>
      <w:pStyle w:val="a7"/>
      <w:jc w:val="cen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F267BB" w:rsidRDefault="00C85F06">
                          <w:pPr>
                            <w:pStyle w:val="a7"/>
                          </w:pPr>
                          <w:r>
                            <w:rPr>
                              <w:rFonts w:hint="eastAsia"/>
                            </w:rPr>
                            <w:fldChar w:fldCharType="begin"/>
                          </w:r>
                          <w:r>
                            <w:rPr>
                              <w:rFonts w:hint="eastAsia"/>
                            </w:rPr>
                            <w:instrText xml:space="preserve"> PAGE  \* MERGEFORMAT </w:instrText>
                          </w:r>
                          <w:r>
                            <w:rPr>
                              <w:rFonts w:hint="eastAsia"/>
                            </w:rPr>
                            <w:fldChar w:fldCharType="separate"/>
                          </w:r>
                          <w:r w:rsidR="00677E44">
                            <w:rPr>
                              <w:noProof/>
                            </w:rPr>
                            <w:t>25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&#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L3F4/IEAwAAzAYAAA4AAAAAAAAAAAAAAAAALgIAAGRycy9lMm9Eb2MueG1sUEsBAi0AFAAG&#10;AAgAAAAhAOcqirzWAAAABQEAAA8AAAAAAAAAAAAAAAAAXgUAAGRycy9kb3ducmV2LnhtbFBLBQYA&#10;AAAABAAEAPMAAABhBgAAAAA=&#10;" filled="f" fillcolor="white [3201]" stroked="f" strokeweight=".5pt">
              <v:textbox style="mso-fit-shape-to-text:t" inset="0,0,0,0">
                <w:txbxContent>
                  <w:p w:rsidR="00F267BB" w:rsidRDefault="00C85F06">
                    <w:pPr>
                      <w:pStyle w:val="a7"/>
                    </w:pPr>
                    <w:r>
                      <w:rPr>
                        <w:rFonts w:hint="eastAsia"/>
                      </w:rPr>
                      <w:fldChar w:fldCharType="begin"/>
                    </w:r>
                    <w:r>
                      <w:rPr>
                        <w:rFonts w:hint="eastAsia"/>
                      </w:rPr>
                      <w:instrText xml:space="preserve"> PAGE  \* MERGEFORMAT </w:instrText>
                    </w:r>
                    <w:r>
                      <w:rPr>
                        <w:rFonts w:hint="eastAsia"/>
                      </w:rPr>
                      <w:fldChar w:fldCharType="separate"/>
                    </w:r>
                    <w:r w:rsidR="00677E44">
                      <w:rPr>
                        <w:noProof/>
                      </w:rPr>
                      <w:t>25</w:t>
                    </w:r>
                    <w:r>
                      <w:rPr>
                        <w:rFonts w:hint="eastAsia"/>
                      </w:rPr>
                      <w:fldChar w:fldCharType="end"/>
                    </w:r>
                  </w:p>
                </w:txbxContent>
              </v:textbox>
              <w10:wrap anchorx="margin"/>
            </v:shape>
          </w:pict>
        </mc:Fallback>
      </mc:AlternateContent>
    </w:r>
  </w:p>
  <w:p w:rsidR="00F267BB" w:rsidRDefault="00F267BB">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7BB" w:rsidRDefault="00C85F06">
    <w:pPr>
      <w:pStyle w:val="a7"/>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F267BB" w:rsidRDefault="00C85F06">
                          <w:pPr>
                            <w:pStyle w:val="a7"/>
                          </w:pPr>
                          <w:r>
                            <w:rPr>
                              <w:rFonts w:hint="eastAsia"/>
                            </w:rPr>
                            <w:fldChar w:fldCharType="begin"/>
                          </w:r>
                          <w:r>
                            <w:rPr>
                              <w:rFonts w:hint="eastAsia"/>
                            </w:rPr>
                            <w:instrText xml:space="preserve"> PAGE  \* MERGEFORMAT </w:instrText>
                          </w:r>
                          <w:r>
                            <w:rPr>
                              <w:rFonts w:hint="eastAsia"/>
                            </w:rPr>
                            <w:fldChar w:fldCharType="separate"/>
                          </w:r>
                          <w:r w:rsidR="00677E44">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" filled="f" fillcolor="white [3201]" stroked="f" strokeweight=".5pt">
              <v:textbox style="mso-fit-shape-to-text:t" inset="0,0,0,0">
                <w:txbxContent>
                  <w:p w:rsidR="00F267BB" w:rsidRDefault="00C85F06">
                    <w:pPr>
                      <w:pStyle w:val="a7"/>
                    </w:pPr>
                    <w:r>
                      <w:rPr>
                        <w:rFonts w:hint="eastAsia"/>
                      </w:rPr>
                      <w:fldChar w:fldCharType="begin"/>
                    </w:r>
                    <w:r>
                      <w:rPr>
                        <w:rFonts w:hint="eastAsia"/>
                      </w:rPr>
                      <w:instrText xml:space="preserve"> PAGE  \* MERGEFORMAT </w:instrText>
                    </w:r>
                    <w:r>
                      <w:rPr>
                        <w:rFonts w:hint="eastAsia"/>
                      </w:rPr>
                      <w:fldChar w:fldCharType="separate"/>
                    </w:r>
                    <w:r w:rsidR="00677E44">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F06" w:rsidRDefault="00C85F06">
      <w:pPr>
        <w:spacing w:after="0" w:line="240" w:lineRule="auto"/>
      </w:pPr>
      <w:r>
        <w:separator/>
      </w:r>
    </w:p>
  </w:footnote>
  <w:footnote w:type="continuationSeparator" w:id="0">
    <w:p w:rsidR="00C85F06" w:rsidRDefault="00C85F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61319D"/>
    <w:multiLevelType w:val="multilevel"/>
    <w:tmpl w:val="2961319D"/>
    <w:lvl w:ilvl="0">
      <w:start w:val="1"/>
      <w:numFmt w:val="japaneseCounting"/>
      <w:lvlText w:val="%1、"/>
      <w:lvlJc w:val="left"/>
      <w:pPr>
        <w:ind w:left="1286" w:hanging="720"/>
      </w:pPr>
      <w:rPr>
        <w:rFonts w:hint="default"/>
        <w:b/>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 w15:restartNumberingAfterBreak="0">
    <w:nsid w:val="4E9571EB"/>
    <w:multiLevelType w:val="multilevel"/>
    <w:tmpl w:val="4E9571EB"/>
    <w:lvl w:ilvl="0">
      <w:start w:val="2"/>
      <w:numFmt w:val="upperLetter"/>
      <w:pStyle w:val="7"/>
      <w:lvlText w:val="%1."/>
      <w:lvlJc w:val="left"/>
      <w:pPr>
        <w:tabs>
          <w:tab w:val="left" w:pos="1080"/>
        </w:tabs>
        <w:ind w:left="108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192"/>
    <w:rsid w:val="000014FF"/>
    <w:rsid w:val="00004FD1"/>
    <w:rsid w:val="00013623"/>
    <w:rsid w:val="00016D15"/>
    <w:rsid w:val="00030F3D"/>
    <w:rsid w:val="000315D5"/>
    <w:rsid w:val="00031D8E"/>
    <w:rsid w:val="00040D4E"/>
    <w:rsid w:val="00050BC7"/>
    <w:rsid w:val="00051AAA"/>
    <w:rsid w:val="000529D2"/>
    <w:rsid w:val="000536AA"/>
    <w:rsid w:val="000646B3"/>
    <w:rsid w:val="00064FEB"/>
    <w:rsid w:val="000705DD"/>
    <w:rsid w:val="00072B3E"/>
    <w:rsid w:val="00076225"/>
    <w:rsid w:val="00076D55"/>
    <w:rsid w:val="0008113C"/>
    <w:rsid w:val="0008219A"/>
    <w:rsid w:val="00082DDC"/>
    <w:rsid w:val="0008429A"/>
    <w:rsid w:val="000853F1"/>
    <w:rsid w:val="00087BA6"/>
    <w:rsid w:val="0009071E"/>
    <w:rsid w:val="0009375A"/>
    <w:rsid w:val="00095192"/>
    <w:rsid w:val="0009530B"/>
    <w:rsid w:val="00095543"/>
    <w:rsid w:val="000A3E33"/>
    <w:rsid w:val="000A6DCC"/>
    <w:rsid w:val="000B2602"/>
    <w:rsid w:val="000B285B"/>
    <w:rsid w:val="000B3A86"/>
    <w:rsid w:val="000D535A"/>
    <w:rsid w:val="000D6A9D"/>
    <w:rsid w:val="000D6D7B"/>
    <w:rsid w:val="000D7ACB"/>
    <w:rsid w:val="000E69CF"/>
    <w:rsid w:val="000E76AF"/>
    <w:rsid w:val="000E7822"/>
    <w:rsid w:val="000F2B17"/>
    <w:rsid w:val="000F7ACB"/>
    <w:rsid w:val="00101E0C"/>
    <w:rsid w:val="001022C0"/>
    <w:rsid w:val="00106B24"/>
    <w:rsid w:val="00114923"/>
    <w:rsid w:val="00117387"/>
    <w:rsid w:val="001323FD"/>
    <w:rsid w:val="0013274E"/>
    <w:rsid w:val="00132E09"/>
    <w:rsid w:val="0013409C"/>
    <w:rsid w:val="0014636A"/>
    <w:rsid w:val="001513C0"/>
    <w:rsid w:val="0015183F"/>
    <w:rsid w:val="001528C8"/>
    <w:rsid w:val="001555D8"/>
    <w:rsid w:val="00161898"/>
    <w:rsid w:val="00161C40"/>
    <w:rsid w:val="00161DF3"/>
    <w:rsid w:val="00164660"/>
    <w:rsid w:val="00165B86"/>
    <w:rsid w:val="0017006A"/>
    <w:rsid w:val="00172EAD"/>
    <w:rsid w:val="00173D04"/>
    <w:rsid w:val="00174486"/>
    <w:rsid w:val="001751AC"/>
    <w:rsid w:val="001753D5"/>
    <w:rsid w:val="001860F8"/>
    <w:rsid w:val="0019720B"/>
    <w:rsid w:val="001A3E31"/>
    <w:rsid w:val="001B75ED"/>
    <w:rsid w:val="001C2A41"/>
    <w:rsid w:val="001C613D"/>
    <w:rsid w:val="001D0298"/>
    <w:rsid w:val="001D147E"/>
    <w:rsid w:val="001D3B29"/>
    <w:rsid w:val="001D5F7F"/>
    <w:rsid w:val="001D6B2D"/>
    <w:rsid w:val="001E12F5"/>
    <w:rsid w:val="001E444C"/>
    <w:rsid w:val="001F0249"/>
    <w:rsid w:val="002026FA"/>
    <w:rsid w:val="00203529"/>
    <w:rsid w:val="00206F9C"/>
    <w:rsid w:val="00212C3F"/>
    <w:rsid w:val="002132E6"/>
    <w:rsid w:val="0023452B"/>
    <w:rsid w:val="002347CC"/>
    <w:rsid w:val="00235B27"/>
    <w:rsid w:val="002367CC"/>
    <w:rsid w:val="00237AF7"/>
    <w:rsid w:val="00240A06"/>
    <w:rsid w:val="00246319"/>
    <w:rsid w:val="00256B20"/>
    <w:rsid w:val="00261753"/>
    <w:rsid w:val="002624A8"/>
    <w:rsid w:val="00265FC1"/>
    <w:rsid w:val="00265FFE"/>
    <w:rsid w:val="00276279"/>
    <w:rsid w:val="002822F2"/>
    <w:rsid w:val="00287D68"/>
    <w:rsid w:val="00291231"/>
    <w:rsid w:val="0029154C"/>
    <w:rsid w:val="00293471"/>
    <w:rsid w:val="00293C0A"/>
    <w:rsid w:val="00295088"/>
    <w:rsid w:val="002A1E60"/>
    <w:rsid w:val="002A2FE4"/>
    <w:rsid w:val="002A5339"/>
    <w:rsid w:val="002B4C67"/>
    <w:rsid w:val="002B5EAF"/>
    <w:rsid w:val="002C0AD4"/>
    <w:rsid w:val="002C4DF3"/>
    <w:rsid w:val="002C5481"/>
    <w:rsid w:val="002C6325"/>
    <w:rsid w:val="002C7D6D"/>
    <w:rsid w:val="002C7D80"/>
    <w:rsid w:val="002D20D8"/>
    <w:rsid w:val="002D3068"/>
    <w:rsid w:val="002E03FF"/>
    <w:rsid w:val="002E06B1"/>
    <w:rsid w:val="002E224E"/>
    <w:rsid w:val="002E31D7"/>
    <w:rsid w:val="002F045A"/>
    <w:rsid w:val="002F6780"/>
    <w:rsid w:val="00303C6B"/>
    <w:rsid w:val="00304833"/>
    <w:rsid w:val="00305AA9"/>
    <w:rsid w:val="00306DAC"/>
    <w:rsid w:val="00310154"/>
    <w:rsid w:val="003114B3"/>
    <w:rsid w:val="003229F1"/>
    <w:rsid w:val="0032385B"/>
    <w:rsid w:val="003414F2"/>
    <w:rsid w:val="0034253F"/>
    <w:rsid w:val="00343AB3"/>
    <w:rsid w:val="00344189"/>
    <w:rsid w:val="00347CFD"/>
    <w:rsid w:val="003547E7"/>
    <w:rsid w:val="003603F2"/>
    <w:rsid w:val="0036084F"/>
    <w:rsid w:val="003621BB"/>
    <w:rsid w:val="003626B8"/>
    <w:rsid w:val="00362B0C"/>
    <w:rsid w:val="00367DA5"/>
    <w:rsid w:val="00370ADA"/>
    <w:rsid w:val="00374CB0"/>
    <w:rsid w:val="003750EA"/>
    <w:rsid w:val="003808AF"/>
    <w:rsid w:val="003844B1"/>
    <w:rsid w:val="00387A41"/>
    <w:rsid w:val="0039300B"/>
    <w:rsid w:val="003947D1"/>
    <w:rsid w:val="0039587D"/>
    <w:rsid w:val="0039678B"/>
    <w:rsid w:val="003A0068"/>
    <w:rsid w:val="003A0D97"/>
    <w:rsid w:val="003A28CC"/>
    <w:rsid w:val="003A3246"/>
    <w:rsid w:val="003A6B13"/>
    <w:rsid w:val="003B372A"/>
    <w:rsid w:val="003C122E"/>
    <w:rsid w:val="003C1ADC"/>
    <w:rsid w:val="003C462E"/>
    <w:rsid w:val="003D4FA1"/>
    <w:rsid w:val="003D7162"/>
    <w:rsid w:val="003D763F"/>
    <w:rsid w:val="003E3326"/>
    <w:rsid w:val="003E4493"/>
    <w:rsid w:val="003E5553"/>
    <w:rsid w:val="003F4065"/>
    <w:rsid w:val="0040571A"/>
    <w:rsid w:val="00410705"/>
    <w:rsid w:val="004258BF"/>
    <w:rsid w:val="004262C6"/>
    <w:rsid w:val="00426A8E"/>
    <w:rsid w:val="00434F16"/>
    <w:rsid w:val="00442E60"/>
    <w:rsid w:val="0044444A"/>
    <w:rsid w:val="00444A96"/>
    <w:rsid w:val="00445AAE"/>
    <w:rsid w:val="00445C3C"/>
    <w:rsid w:val="00446C3E"/>
    <w:rsid w:val="00446DBB"/>
    <w:rsid w:val="00452147"/>
    <w:rsid w:val="0045607A"/>
    <w:rsid w:val="00460A95"/>
    <w:rsid w:val="004645A1"/>
    <w:rsid w:val="00464C2E"/>
    <w:rsid w:val="00464DF9"/>
    <w:rsid w:val="00475A32"/>
    <w:rsid w:val="00475F4F"/>
    <w:rsid w:val="004802C1"/>
    <w:rsid w:val="00486ACC"/>
    <w:rsid w:val="00490EA0"/>
    <w:rsid w:val="00497B51"/>
    <w:rsid w:val="004A0A77"/>
    <w:rsid w:val="004A149F"/>
    <w:rsid w:val="004A2D86"/>
    <w:rsid w:val="004B0BF2"/>
    <w:rsid w:val="004B12EE"/>
    <w:rsid w:val="004C2BE5"/>
    <w:rsid w:val="004D068D"/>
    <w:rsid w:val="004D1BBE"/>
    <w:rsid w:val="004D31FA"/>
    <w:rsid w:val="004D76D3"/>
    <w:rsid w:val="004E1A0B"/>
    <w:rsid w:val="004E36A9"/>
    <w:rsid w:val="004E4B64"/>
    <w:rsid w:val="00515B94"/>
    <w:rsid w:val="005166AB"/>
    <w:rsid w:val="00521515"/>
    <w:rsid w:val="0052442D"/>
    <w:rsid w:val="00525A8E"/>
    <w:rsid w:val="0053088E"/>
    <w:rsid w:val="00531BCF"/>
    <w:rsid w:val="00550947"/>
    <w:rsid w:val="00553DBE"/>
    <w:rsid w:val="005548E6"/>
    <w:rsid w:val="00560EAD"/>
    <w:rsid w:val="00572DCF"/>
    <w:rsid w:val="00574D9F"/>
    <w:rsid w:val="00575368"/>
    <w:rsid w:val="0058057F"/>
    <w:rsid w:val="00581E4C"/>
    <w:rsid w:val="00592C9A"/>
    <w:rsid w:val="00592EC2"/>
    <w:rsid w:val="00593F94"/>
    <w:rsid w:val="00595227"/>
    <w:rsid w:val="005975BC"/>
    <w:rsid w:val="005A5D25"/>
    <w:rsid w:val="005B000E"/>
    <w:rsid w:val="005B3E1E"/>
    <w:rsid w:val="005B6AAC"/>
    <w:rsid w:val="005B74A2"/>
    <w:rsid w:val="005C0954"/>
    <w:rsid w:val="005C32EA"/>
    <w:rsid w:val="005F1B12"/>
    <w:rsid w:val="005F53C3"/>
    <w:rsid w:val="005F54D3"/>
    <w:rsid w:val="005F55ED"/>
    <w:rsid w:val="005F6320"/>
    <w:rsid w:val="005F6989"/>
    <w:rsid w:val="006001D6"/>
    <w:rsid w:val="0060217F"/>
    <w:rsid w:val="00604516"/>
    <w:rsid w:val="00604875"/>
    <w:rsid w:val="006051D3"/>
    <w:rsid w:val="00615AFC"/>
    <w:rsid w:val="0062114A"/>
    <w:rsid w:val="0062213A"/>
    <w:rsid w:val="006251D2"/>
    <w:rsid w:val="00633358"/>
    <w:rsid w:val="00634373"/>
    <w:rsid w:val="00640C6C"/>
    <w:rsid w:val="006421D5"/>
    <w:rsid w:val="006422D4"/>
    <w:rsid w:val="006512AE"/>
    <w:rsid w:val="0065164F"/>
    <w:rsid w:val="006520C0"/>
    <w:rsid w:val="0065432D"/>
    <w:rsid w:val="00655A59"/>
    <w:rsid w:val="00656676"/>
    <w:rsid w:val="0067690A"/>
    <w:rsid w:val="00677E44"/>
    <w:rsid w:val="0068027C"/>
    <w:rsid w:val="00684139"/>
    <w:rsid w:val="00695AF1"/>
    <w:rsid w:val="006A1529"/>
    <w:rsid w:val="006A4844"/>
    <w:rsid w:val="006B169F"/>
    <w:rsid w:val="006B338A"/>
    <w:rsid w:val="006C574D"/>
    <w:rsid w:val="006C6D88"/>
    <w:rsid w:val="006D1AB8"/>
    <w:rsid w:val="006D2162"/>
    <w:rsid w:val="006D221B"/>
    <w:rsid w:val="006F05F4"/>
    <w:rsid w:val="006F0DA3"/>
    <w:rsid w:val="006F6500"/>
    <w:rsid w:val="007025EF"/>
    <w:rsid w:val="007031D5"/>
    <w:rsid w:val="00703859"/>
    <w:rsid w:val="0070650F"/>
    <w:rsid w:val="00712844"/>
    <w:rsid w:val="007179BF"/>
    <w:rsid w:val="00722CA2"/>
    <w:rsid w:val="0072485D"/>
    <w:rsid w:val="007279A2"/>
    <w:rsid w:val="00736D02"/>
    <w:rsid w:val="00740324"/>
    <w:rsid w:val="00742120"/>
    <w:rsid w:val="00743CF5"/>
    <w:rsid w:val="0074641A"/>
    <w:rsid w:val="007563E2"/>
    <w:rsid w:val="00760AFE"/>
    <w:rsid w:val="0077301E"/>
    <w:rsid w:val="00773250"/>
    <w:rsid w:val="00773454"/>
    <w:rsid w:val="00781BFB"/>
    <w:rsid w:val="00783730"/>
    <w:rsid w:val="00790A3B"/>
    <w:rsid w:val="00791364"/>
    <w:rsid w:val="00794252"/>
    <w:rsid w:val="007A4681"/>
    <w:rsid w:val="007C0008"/>
    <w:rsid w:val="007C629A"/>
    <w:rsid w:val="007D29F8"/>
    <w:rsid w:val="007D457A"/>
    <w:rsid w:val="007D5578"/>
    <w:rsid w:val="007D6C82"/>
    <w:rsid w:val="007D6EC8"/>
    <w:rsid w:val="007E338C"/>
    <w:rsid w:val="007E4E18"/>
    <w:rsid w:val="008042D9"/>
    <w:rsid w:val="00807A64"/>
    <w:rsid w:val="00807B6E"/>
    <w:rsid w:val="0081605C"/>
    <w:rsid w:val="0082297C"/>
    <w:rsid w:val="00827BE1"/>
    <w:rsid w:val="00860250"/>
    <w:rsid w:val="00860748"/>
    <w:rsid w:val="008626CB"/>
    <w:rsid w:val="00873D17"/>
    <w:rsid w:val="00874BFE"/>
    <w:rsid w:val="00877ADB"/>
    <w:rsid w:val="0088309B"/>
    <w:rsid w:val="008831BD"/>
    <w:rsid w:val="00884E48"/>
    <w:rsid w:val="00886D57"/>
    <w:rsid w:val="008907F2"/>
    <w:rsid w:val="00892327"/>
    <w:rsid w:val="00895519"/>
    <w:rsid w:val="00895C46"/>
    <w:rsid w:val="00895D8D"/>
    <w:rsid w:val="008A2615"/>
    <w:rsid w:val="008A5173"/>
    <w:rsid w:val="008B7011"/>
    <w:rsid w:val="008C64E9"/>
    <w:rsid w:val="008C6F27"/>
    <w:rsid w:val="008D0E99"/>
    <w:rsid w:val="008D172A"/>
    <w:rsid w:val="008D3894"/>
    <w:rsid w:val="008E3254"/>
    <w:rsid w:val="008E3A1C"/>
    <w:rsid w:val="008F001E"/>
    <w:rsid w:val="008F18ED"/>
    <w:rsid w:val="008F2153"/>
    <w:rsid w:val="008F5B56"/>
    <w:rsid w:val="008F7E35"/>
    <w:rsid w:val="00900553"/>
    <w:rsid w:val="009015DD"/>
    <w:rsid w:val="00904007"/>
    <w:rsid w:val="0091702F"/>
    <w:rsid w:val="0092026B"/>
    <w:rsid w:val="00920DEB"/>
    <w:rsid w:val="0092159A"/>
    <w:rsid w:val="00921B63"/>
    <w:rsid w:val="00926DE6"/>
    <w:rsid w:val="00932C5E"/>
    <w:rsid w:val="00947DD2"/>
    <w:rsid w:val="00953B61"/>
    <w:rsid w:val="00954C63"/>
    <w:rsid w:val="00970409"/>
    <w:rsid w:val="00977C1B"/>
    <w:rsid w:val="00984075"/>
    <w:rsid w:val="00987818"/>
    <w:rsid w:val="009879FD"/>
    <w:rsid w:val="0099021C"/>
    <w:rsid w:val="009910B1"/>
    <w:rsid w:val="009935AC"/>
    <w:rsid w:val="00993CC8"/>
    <w:rsid w:val="0099417F"/>
    <w:rsid w:val="00996231"/>
    <w:rsid w:val="009A08BF"/>
    <w:rsid w:val="009B03C9"/>
    <w:rsid w:val="009B1F53"/>
    <w:rsid w:val="009C00D0"/>
    <w:rsid w:val="009C498E"/>
    <w:rsid w:val="009C580E"/>
    <w:rsid w:val="009D03C6"/>
    <w:rsid w:val="009D6DE7"/>
    <w:rsid w:val="009E6785"/>
    <w:rsid w:val="009F4AE9"/>
    <w:rsid w:val="00A07A07"/>
    <w:rsid w:val="00A1180E"/>
    <w:rsid w:val="00A17236"/>
    <w:rsid w:val="00A1774C"/>
    <w:rsid w:val="00A26853"/>
    <w:rsid w:val="00A26B58"/>
    <w:rsid w:val="00A337A4"/>
    <w:rsid w:val="00A43E77"/>
    <w:rsid w:val="00A47119"/>
    <w:rsid w:val="00A53D9C"/>
    <w:rsid w:val="00A56AA2"/>
    <w:rsid w:val="00A71093"/>
    <w:rsid w:val="00A738FE"/>
    <w:rsid w:val="00A73956"/>
    <w:rsid w:val="00A83A95"/>
    <w:rsid w:val="00A91408"/>
    <w:rsid w:val="00A925B6"/>
    <w:rsid w:val="00A973C7"/>
    <w:rsid w:val="00AA077C"/>
    <w:rsid w:val="00AA37CB"/>
    <w:rsid w:val="00AA4237"/>
    <w:rsid w:val="00AA4310"/>
    <w:rsid w:val="00AA6FE1"/>
    <w:rsid w:val="00AB34BF"/>
    <w:rsid w:val="00AC3017"/>
    <w:rsid w:val="00AD1B8D"/>
    <w:rsid w:val="00AD2F30"/>
    <w:rsid w:val="00AD6AFB"/>
    <w:rsid w:val="00AF086A"/>
    <w:rsid w:val="00AF0CA4"/>
    <w:rsid w:val="00B003AD"/>
    <w:rsid w:val="00B0059C"/>
    <w:rsid w:val="00B2079E"/>
    <w:rsid w:val="00B21D52"/>
    <w:rsid w:val="00B26422"/>
    <w:rsid w:val="00B34713"/>
    <w:rsid w:val="00B367D2"/>
    <w:rsid w:val="00B37A7F"/>
    <w:rsid w:val="00B37CF1"/>
    <w:rsid w:val="00B400B4"/>
    <w:rsid w:val="00B40FCD"/>
    <w:rsid w:val="00B41224"/>
    <w:rsid w:val="00B41FFD"/>
    <w:rsid w:val="00B44329"/>
    <w:rsid w:val="00B47451"/>
    <w:rsid w:val="00B474A8"/>
    <w:rsid w:val="00B517AD"/>
    <w:rsid w:val="00B55129"/>
    <w:rsid w:val="00B562E5"/>
    <w:rsid w:val="00B56FEC"/>
    <w:rsid w:val="00B63BC4"/>
    <w:rsid w:val="00B673A8"/>
    <w:rsid w:val="00B7279E"/>
    <w:rsid w:val="00B74D66"/>
    <w:rsid w:val="00B82774"/>
    <w:rsid w:val="00B85DFF"/>
    <w:rsid w:val="00B94C9C"/>
    <w:rsid w:val="00BA2C85"/>
    <w:rsid w:val="00BA75BE"/>
    <w:rsid w:val="00BB2406"/>
    <w:rsid w:val="00BB30A9"/>
    <w:rsid w:val="00BB3C47"/>
    <w:rsid w:val="00BB4449"/>
    <w:rsid w:val="00BC3A97"/>
    <w:rsid w:val="00BC4A8D"/>
    <w:rsid w:val="00BD1CE7"/>
    <w:rsid w:val="00BE7B09"/>
    <w:rsid w:val="00BF7653"/>
    <w:rsid w:val="00C0229A"/>
    <w:rsid w:val="00C0539B"/>
    <w:rsid w:val="00C061A9"/>
    <w:rsid w:val="00C06240"/>
    <w:rsid w:val="00C11251"/>
    <w:rsid w:val="00C2064D"/>
    <w:rsid w:val="00C21F6E"/>
    <w:rsid w:val="00C2480C"/>
    <w:rsid w:val="00C25F6E"/>
    <w:rsid w:val="00C2789D"/>
    <w:rsid w:val="00C27FBC"/>
    <w:rsid w:val="00C338DE"/>
    <w:rsid w:val="00C34721"/>
    <w:rsid w:val="00C354CB"/>
    <w:rsid w:val="00C36828"/>
    <w:rsid w:val="00C43D43"/>
    <w:rsid w:val="00C70ED4"/>
    <w:rsid w:val="00C71DEF"/>
    <w:rsid w:val="00C72C0F"/>
    <w:rsid w:val="00C744FD"/>
    <w:rsid w:val="00C74DBE"/>
    <w:rsid w:val="00C74EB0"/>
    <w:rsid w:val="00C8554D"/>
    <w:rsid w:val="00C85F06"/>
    <w:rsid w:val="00C95BE6"/>
    <w:rsid w:val="00C97605"/>
    <w:rsid w:val="00CA77ED"/>
    <w:rsid w:val="00CB3E9D"/>
    <w:rsid w:val="00CB5DCE"/>
    <w:rsid w:val="00CC44C0"/>
    <w:rsid w:val="00CD3901"/>
    <w:rsid w:val="00CE26C4"/>
    <w:rsid w:val="00CF0FCA"/>
    <w:rsid w:val="00CF6B37"/>
    <w:rsid w:val="00D00C2E"/>
    <w:rsid w:val="00D145C9"/>
    <w:rsid w:val="00D2477E"/>
    <w:rsid w:val="00D31B72"/>
    <w:rsid w:val="00D45FE7"/>
    <w:rsid w:val="00D47F88"/>
    <w:rsid w:val="00D53B78"/>
    <w:rsid w:val="00D54871"/>
    <w:rsid w:val="00D54FD0"/>
    <w:rsid w:val="00D56268"/>
    <w:rsid w:val="00D75313"/>
    <w:rsid w:val="00D75BBC"/>
    <w:rsid w:val="00D84B33"/>
    <w:rsid w:val="00D8761B"/>
    <w:rsid w:val="00DA2773"/>
    <w:rsid w:val="00DA2D8F"/>
    <w:rsid w:val="00DA4867"/>
    <w:rsid w:val="00DB3F4B"/>
    <w:rsid w:val="00DB4CBB"/>
    <w:rsid w:val="00DB4ED1"/>
    <w:rsid w:val="00DB6E11"/>
    <w:rsid w:val="00DC084B"/>
    <w:rsid w:val="00DC1777"/>
    <w:rsid w:val="00DC4644"/>
    <w:rsid w:val="00DD133C"/>
    <w:rsid w:val="00DD29B2"/>
    <w:rsid w:val="00DD2AA2"/>
    <w:rsid w:val="00DD52C7"/>
    <w:rsid w:val="00DE1580"/>
    <w:rsid w:val="00DF1747"/>
    <w:rsid w:val="00DF25A5"/>
    <w:rsid w:val="00DF3C01"/>
    <w:rsid w:val="00DF5478"/>
    <w:rsid w:val="00DF5C0E"/>
    <w:rsid w:val="00E03925"/>
    <w:rsid w:val="00E04158"/>
    <w:rsid w:val="00E041DA"/>
    <w:rsid w:val="00E05C90"/>
    <w:rsid w:val="00E10534"/>
    <w:rsid w:val="00E108AA"/>
    <w:rsid w:val="00E136A1"/>
    <w:rsid w:val="00E13E70"/>
    <w:rsid w:val="00E14C0A"/>
    <w:rsid w:val="00E3074E"/>
    <w:rsid w:val="00E34A6E"/>
    <w:rsid w:val="00E437FE"/>
    <w:rsid w:val="00E4582B"/>
    <w:rsid w:val="00E46680"/>
    <w:rsid w:val="00E5551C"/>
    <w:rsid w:val="00E57498"/>
    <w:rsid w:val="00E5785C"/>
    <w:rsid w:val="00E60F82"/>
    <w:rsid w:val="00E618CA"/>
    <w:rsid w:val="00E6400D"/>
    <w:rsid w:val="00E64BC9"/>
    <w:rsid w:val="00E667F1"/>
    <w:rsid w:val="00E675A5"/>
    <w:rsid w:val="00E76FC7"/>
    <w:rsid w:val="00E81274"/>
    <w:rsid w:val="00E8197A"/>
    <w:rsid w:val="00E81DEF"/>
    <w:rsid w:val="00E82675"/>
    <w:rsid w:val="00E90F96"/>
    <w:rsid w:val="00E9402A"/>
    <w:rsid w:val="00E94CD9"/>
    <w:rsid w:val="00EA19D0"/>
    <w:rsid w:val="00EA4B84"/>
    <w:rsid w:val="00EC0C14"/>
    <w:rsid w:val="00ED0CC5"/>
    <w:rsid w:val="00ED3710"/>
    <w:rsid w:val="00ED5ED9"/>
    <w:rsid w:val="00ED6EFC"/>
    <w:rsid w:val="00EE07F9"/>
    <w:rsid w:val="00EE2EC9"/>
    <w:rsid w:val="00EF1912"/>
    <w:rsid w:val="00EF4904"/>
    <w:rsid w:val="00F00238"/>
    <w:rsid w:val="00F22179"/>
    <w:rsid w:val="00F23B85"/>
    <w:rsid w:val="00F240CB"/>
    <w:rsid w:val="00F267BB"/>
    <w:rsid w:val="00F36288"/>
    <w:rsid w:val="00F36F79"/>
    <w:rsid w:val="00F4169A"/>
    <w:rsid w:val="00F436BD"/>
    <w:rsid w:val="00F44505"/>
    <w:rsid w:val="00F45C46"/>
    <w:rsid w:val="00F4654B"/>
    <w:rsid w:val="00F51340"/>
    <w:rsid w:val="00F5139F"/>
    <w:rsid w:val="00F55117"/>
    <w:rsid w:val="00F6434E"/>
    <w:rsid w:val="00F65FBD"/>
    <w:rsid w:val="00F6791F"/>
    <w:rsid w:val="00F70710"/>
    <w:rsid w:val="00F721F4"/>
    <w:rsid w:val="00F724AD"/>
    <w:rsid w:val="00F73042"/>
    <w:rsid w:val="00F74118"/>
    <w:rsid w:val="00F748F7"/>
    <w:rsid w:val="00F82334"/>
    <w:rsid w:val="00F83806"/>
    <w:rsid w:val="00F84D29"/>
    <w:rsid w:val="00F85E87"/>
    <w:rsid w:val="00F90727"/>
    <w:rsid w:val="00F96670"/>
    <w:rsid w:val="00F97508"/>
    <w:rsid w:val="00FA035D"/>
    <w:rsid w:val="00FA2048"/>
    <w:rsid w:val="00FA754D"/>
    <w:rsid w:val="00FB0FA6"/>
    <w:rsid w:val="00FB7EFA"/>
    <w:rsid w:val="00FC201C"/>
    <w:rsid w:val="00FD2F83"/>
    <w:rsid w:val="00FD7206"/>
    <w:rsid w:val="00FD7A16"/>
    <w:rsid w:val="00FE3439"/>
    <w:rsid w:val="02DA68F5"/>
    <w:rsid w:val="02FB19F9"/>
    <w:rsid w:val="05ED2C38"/>
    <w:rsid w:val="05F7047F"/>
    <w:rsid w:val="062A11E0"/>
    <w:rsid w:val="07636CF1"/>
    <w:rsid w:val="0A4C6EE7"/>
    <w:rsid w:val="0E61623D"/>
    <w:rsid w:val="0F755531"/>
    <w:rsid w:val="106635EC"/>
    <w:rsid w:val="129353C5"/>
    <w:rsid w:val="19DA6C99"/>
    <w:rsid w:val="1FE61CAC"/>
    <w:rsid w:val="204E6FBB"/>
    <w:rsid w:val="210D76F9"/>
    <w:rsid w:val="23BC557D"/>
    <w:rsid w:val="2C937FED"/>
    <w:rsid w:val="2D895184"/>
    <w:rsid w:val="30AF6C87"/>
    <w:rsid w:val="336B42F7"/>
    <w:rsid w:val="36A76F51"/>
    <w:rsid w:val="38081169"/>
    <w:rsid w:val="41FE7882"/>
    <w:rsid w:val="489309B3"/>
    <w:rsid w:val="4B0A4755"/>
    <w:rsid w:val="53DC532A"/>
    <w:rsid w:val="56064304"/>
    <w:rsid w:val="57B61B93"/>
    <w:rsid w:val="62293C92"/>
    <w:rsid w:val="67407022"/>
    <w:rsid w:val="690917E8"/>
    <w:rsid w:val="6E0F7CB0"/>
    <w:rsid w:val="6E193596"/>
    <w:rsid w:val="73CE6CD4"/>
    <w:rsid w:val="74987614"/>
    <w:rsid w:val="7CB02A76"/>
    <w:rsid w:val="7E2F3D4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00C430A5-6A54-416B-989C-4756AAC77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semiHidden="1" w:uiPriority="5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eastAsiaTheme="minorEastAsia"/>
      <w:kern w:val="2"/>
      <w:sz w:val="21"/>
      <w:szCs w:val="24"/>
    </w:rPr>
  </w:style>
  <w:style w:type="paragraph" w:styleId="1">
    <w:name w:val="heading 1"/>
    <w:basedOn w:val="a"/>
    <w:next w:val="a"/>
    <w:link w:val="1Char"/>
    <w:qFormat/>
    <w:pPr>
      <w:adjustRightInd w:val="0"/>
      <w:snapToGrid w:val="0"/>
      <w:spacing w:beforeLines="100" w:line="360" w:lineRule="auto"/>
      <w:textAlignment w:val="baseline"/>
      <w:outlineLvl w:val="0"/>
    </w:pPr>
    <w:rPr>
      <w:rFonts w:eastAsia="黑体"/>
      <w:b/>
      <w:bCs/>
      <w:kern w:val="44"/>
      <w:sz w:val="30"/>
      <w:szCs w:val="30"/>
    </w:rPr>
  </w:style>
  <w:style w:type="paragraph" w:styleId="2">
    <w:name w:val="heading 2"/>
    <w:basedOn w:val="a"/>
    <w:next w:val="a"/>
    <w:link w:val="2Char"/>
    <w:qFormat/>
    <w:pPr>
      <w:adjustRightInd w:val="0"/>
      <w:snapToGrid w:val="0"/>
      <w:spacing w:beforeLines="50" w:afterLines="50" w:line="360" w:lineRule="auto"/>
      <w:textAlignment w:val="baseline"/>
      <w:outlineLvl w:val="1"/>
    </w:pPr>
    <w:rPr>
      <w:rFonts w:ascii="Arial" w:eastAsia="黑体" w:hAnsi="Arial"/>
      <w:b/>
      <w:bCs/>
      <w:sz w:val="28"/>
      <w:szCs w:val="28"/>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7">
    <w:name w:val="heading 7"/>
    <w:basedOn w:val="a"/>
    <w:next w:val="a"/>
    <w:link w:val="7Char"/>
    <w:qFormat/>
    <w:pPr>
      <w:keepNext/>
      <w:widowControl/>
      <w:numPr>
        <w:numId w:val="1"/>
      </w:numPr>
      <w:jc w:val="left"/>
      <w:outlineLvl w:val="6"/>
    </w:pPr>
    <w:rPr>
      <w:rFonts w:ascii="Futura" w:hAnsi="Futura"/>
      <w:b/>
      <w:bCs/>
      <w:color w:val="000000"/>
      <w:kern w:val="0"/>
      <w:sz w:val="1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pPr>
      <w:shd w:val="clear" w:color="auto" w:fill="000080"/>
    </w:pPr>
  </w:style>
  <w:style w:type="paragraph" w:styleId="a4">
    <w:name w:val="annotation text"/>
    <w:basedOn w:val="a"/>
    <w:link w:val="Char"/>
    <w:uiPriority w:val="99"/>
    <w:semiHidden/>
    <w:unhideWhenUsed/>
    <w:qFormat/>
    <w:pPr>
      <w:jc w:val="left"/>
    </w:pPr>
  </w:style>
  <w:style w:type="paragraph" w:styleId="30">
    <w:name w:val="toc 3"/>
    <w:basedOn w:val="a"/>
    <w:next w:val="a"/>
    <w:uiPriority w:val="39"/>
    <w:unhideWhenUsed/>
    <w:qFormat/>
    <w:pPr>
      <w:ind w:leftChars="400" w:left="840"/>
    </w:pPr>
  </w:style>
  <w:style w:type="paragraph" w:styleId="a5">
    <w:name w:val="Date"/>
    <w:basedOn w:val="a"/>
    <w:next w:val="a"/>
    <w:link w:val="Char0"/>
    <w:semiHidden/>
    <w:unhideWhenUsed/>
    <w:qFormat/>
    <w:pPr>
      <w:ind w:leftChars="2500" w:left="100"/>
    </w:pPr>
  </w:style>
  <w:style w:type="paragraph" w:styleId="a6">
    <w:name w:val="Balloon Text"/>
    <w:basedOn w:val="a"/>
    <w:link w:val="Char1"/>
    <w:uiPriority w:val="99"/>
    <w:unhideWhenUsed/>
    <w:qFormat/>
    <w:rPr>
      <w:sz w:val="18"/>
      <w:szCs w:val="18"/>
    </w:rPr>
  </w:style>
  <w:style w:type="paragraph" w:styleId="a7">
    <w:name w:val="footer"/>
    <w:basedOn w:val="a"/>
    <w:link w:val="Char2"/>
    <w:uiPriority w:val="99"/>
    <w:unhideWhenUsed/>
    <w:qFormat/>
    <w:pPr>
      <w:tabs>
        <w:tab w:val="center" w:pos="4153"/>
        <w:tab w:val="right" w:pos="8306"/>
      </w:tabs>
      <w:snapToGrid w:val="0"/>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left" w:pos="300"/>
        <w:tab w:val="right" w:leader="dot" w:pos="8296"/>
      </w:tabs>
      <w:spacing w:line="360" w:lineRule="auto"/>
    </w:pPr>
    <w:rPr>
      <w:sz w:val="24"/>
    </w:rPr>
  </w:style>
  <w:style w:type="paragraph" w:styleId="20">
    <w:name w:val="toc 2"/>
    <w:basedOn w:val="a"/>
    <w:next w:val="a"/>
    <w:uiPriority w:val="39"/>
    <w:qFormat/>
    <w:pPr>
      <w:spacing w:line="360" w:lineRule="auto"/>
      <w:ind w:leftChars="200" w:left="200"/>
    </w:pPr>
  </w:style>
  <w:style w:type="paragraph" w:styleId="a9">
    <w:name w:val="Normal (Web)"/>
    <w:basedOn w:val="a"/>
    <w:unhideWhenUsed/>
    <w:qFormat/>
    <w:pPr>
      <w:widowControl/>
      <w:spacing w:before="100" w:beforeAutospacing="1" w:after="100" w:afterAutospacing="1"/>
      <w:jc w:val="left"/>
    </w:pPr>
    <w:rPr>
      <w:rFonts w:ascii="宋体" w:hAnsi="宋体" w:cs="宋体"/>
      <w:kern w:val="0"/>
      <w:sz w:val="24"/>
    </w:rPr>
  </w:style>
  <w:style w:type="paragraph" w:styleId="aa">
    <w:name w:val="Title"/>
    <w:basedOn w:val="a"/>
    <w:link w:val="Char4"/>
    <w:qFormat/>
    <w:pPr>
      <w:adjustRightInd w:val="0"/>
      <w:snapToGrid w:val="0"/>
      <w:spacing w:beforeLines="50" w:afterLines="50" w:line="360" w:lineRule="auto"/>
      <w:jc w:val="center"/>
      <w:textAlignment w:val="baseline"/>
    </w:pPr>
    <w:rPr>
      <w:rFonts w:ascii="Arial" w:eastAsia="黑体" w:hAnsi="Arial" w:cs="Arial"/>
      <w:b/>
      <w:bCs/>
      <w:sz w:val="40"/>
    </w:rPr>
  </w:style>
  <w:style w:type="paragraph" w:styleId="ab">
    <w:name w:val="annotation subject"/>
    <w:basedOn w:val="a4"/>
    <w:next w:val="a4"/>
    <w:link w:val="Char5"/>
    <w:semiHidden/>
    <w:unhideWhenUsed/>
    <w:qFormat/>
    <w:rPr>
      <w:b/>
      <w:bCs/>
    </w:rPr>
  </w:style>
  <w:style w:type="character" w:styleId="ac">
    <w:name w:val="Strong"/>
    <w:basedOn w:val="a0"/>
    <w:uiPriority w:val="22"/>
    <w:qFormat/>
    <w:rPr>
      <w:b/>
      <w:bCs/>
    </w:rPr>
  </w:style>
  <w:style w:type="character" w:styleId="ad">
    <w:name w:val="page number"/>
    <w:basedOn w:val="a0"/>
    <w:qFormat/>
  </w:style>
  <w:style w:type="character" w:styleId="ae">
    <w:name w:val="Hyperlink"/>
    <w:basedOn w:val="a0"/>
    <w:uiPriority w:val="99"/>
    <w:unhideWhenUsed/>
    <w:qFormat/>
    <w:rPr>
      <w:color w:val="0000FF"/>
      <w:u w:val="single"/>
    </w:rPr>
  </w:style>
  <w:style w:type="character" w:styleId="af">
    <w:name w:val="annotation reference"/>
    <w:basedOn w:val="a0"/>
    <w:semiHidden/>
    <w:unhideWhenUsed/>
    <w:qFormat/>
    <w:rPr>
      <w:sz w:val="21"/>
      <w:szCs w:val="21"/>
    </w:rPr>
  </w:style>
  <w:style w:type="paragraph" w:customStyle="1" w:styleId="11">
    <w:name w:val="列出段落1"/>
    <w:basedOn w:val="a"/>
    <w:uiPriority w:val="34"/>
    <w:qFormat/>
    <w:pPr>
      <w:ind w:firstLineChars="200" w:firstLine="420"/>
    </w:pPr>
  </w:style>
  <w:style w:type="paragraph" w:customStyle="1" w:styleId="12">
    <w:name w:val="无间隔1"/>
    <w:uiPriority w:val="1"/>
    <w:qFormat/>
    <w:pPr>
      <w:widowControl w:val="0"/>
      <w:spacing w:after="160" w:line="259" w:lineRule="auto"/>
      <w:jc w:val="both"/>
    </w:pPr>
    <w:rPr>
      <w:rFonts w:eastAsiaTheme="minorEastAsia"/>
      <w:kern w:val="2"/>
      <w:sz w:val="21"/>
      <w:szCs w:val="24"/>
    </w:rPr>
  </w:style>
  <w:style w:type="paragraph" w:customStyle="1" w:styleId="11212">
    <w:name w:val="样式 标题 1 + 段前: 12 磅 段后: 12 磅 行距: 单倍行距"/>
    <w:basedOn w:val="1"/>
    <w:qFormat/>
    <w:pPr>
      <w:keepNext/>
      <w:keepLines/>
      <w:adjustRightInd/>
      <w:snapToGrid/>
      <w:spacing w:beforeLines="0" w:after="240" w:line="240" w:lineRule="auto"/>
      <w:textAlignment w:val="auto"/>
    </w:pPr>
    <w:rPr>
      <w:rFonts w:ascii="黑体" w:cs="宋体"/>
      <w:sz w:val="32"/>
      <w:szCs w:val="32"/>
    </w:rPr>
  </w:style>
  <w:style w:type="paragraph" w:customStyle="1" w:styleId="Af0">
    <w:name w:val="正文 A"/>
    <w:qFormat/>
    <w:pPr>
      <w:widowControl w:val="0"/>
      <w:spacing w:after="160" w:line="259" w:lineRule="auto"/>
      <w:jc w:val="both"/>
    </w:pPr>
    <w:rPr>
      <w:rFonts w:eastAsia="Arial Unicode MS" w:hAnsi="Arial Unicode MS" w:cs="Arial Unicode MS"/>
      <w:color w:val="000000"/>
      <w:kern w:val="2"/>
      <w:sz w:val="21"/>
      <w:szCs w:val="21"/>
      <w:u w:color="000000"/>
    </w:rPr>
  </w:style>
  <w:style w:type="paragraph" w:customStyle="1" w:styleId="Default">
    <w:name w:val="Default"/>
    <w:qFormat/>
    <w:pPr>
      <w:widowControl w:val="0"/>
      <w:autoSpaceDE w:val="0"/>
      <w:autoSpaceDN w:val="0"/>
      <w:adjustRightInd w:val="0"/>
      <w:spacing w:after="160" w:line="259" w:lineRule="auto"/>
    </w:pPr>
    <w:rPr>
      <w:rFonts w:ascii="仿宋" w:eastAsiaTheme="minorEastAsia" w:hAnsi="仿宋" w:cs="仿宋"/>
      <w:color w:val="000000"/>
      <w:sz w:val="24"/>
      <w:szCs w:val="24"/>
    </w:rPr>
  </w:style>
  <w:style w:type="paragraph" w:customStyle="1" w:styleId="TOC1">
    <w:name w:val="TOC 标题1"/>
    <w:basedOn w:val="1"/>
    <w:next w:val="a"/>
    <w:uiPriority w:val="39"/>
    <w:unhideWhenUsed/>
    <w:qFormat/>
    <w:pPr>
      <w:keepNext/>
      <w:keepLines/>
      <w:widowControl/>
      <w:adjustRightInd/>
      <w:snapToGrid/>
      <w:spacing w:beforeLines="0" w:line="259" w:lineRule="auto"/>
      <w:jc w:val="left"/>
      <w:textAlignment w:val="auto"/>
      <w:outlineLvl w:val="9"/>
    </w:pPr>
    <w:rPr>
      <w:rFonts w:ascii="Cambria" w:eastAsia="宋体" w:hAnsi="Cambria" w:cs="黑体"/>
      <w:b w:val="0"/>
      <w:bCs w:val="0"/>
      <w:color w:val="365F90"/>
      <w:kern w:val="0"/>
      <w:sz w:val="32"/>
      <w:szCs w:val="32"/>
    </w:rPr>
  </w:style>
  <w:style w:type="character" w:customStyle="1" w:styleId="1Char">
    <w:name w:val="标题 1 Char"/>
    <w:link w:val="1"/>
    <w:qFormat/>
    <w:rPr>
      <w:rFonts w:ascii="Times New Roman" w:eastAsia="黑体" w:hAnsi="Times New Roman"/>
      <w:b/>
      <w:bCs/>
      <w:kern w:val="44"/>
      <w:sz w:val="30"/>
      <w:szCs w:val="30"/>
    </w:rPr>
  </w:style>
  <w:style w:type="character" w:customStyle="1" w:styleId="2Char">
    <w:name w:val="标题 2 Char"/>
    <w:link w:val="2"/>
    <w:qFormat/>
    <w:rPr>
      <w:rFonts w:ascii="Arial" w:eastAsia="黑体" w:hAnsi="Arial"/>
      <w:b/>
      <w:bCs/>
      <w:kern w:val="2"/>
      <w:sz w:val="28"/>
      <w:szCs w:val="28"/>
    </w:rPr>
  </w:style>
  <w:style w:type="character" w:customStyle="1" w:styleId="Char3">
    <w:name w:val="页眉 Char"/>
    <w:link w:val="a8"/>
    <w:uiPriority w:val="99"/>
    <w:qFormat/>
    <w:rPr>
      <w:rFonts w:ascii="Times New Roman" w:eastAsia="宋体" w:hAnsi="Times New Roman" w:cs="Times New Roman"/>
      <w:sz w:val="18"/>
      <w:szCs w:val="18"/>
    </w:rPr>
  </w:style>
  <w:style w:type="character" w:customStyle="1" w:styleId="Char2">
    <w:name w:val="页脚 Char"/>
    <w:link w:val="a7"/>
    <w:uiPriority w:val="99"/>
    <w:qFormat/>
    <w:rPr>
      <w:rFonts w:ascii="Times New Roman" w:eastAsia="宋体" w:hAnsi="Times New Roman" w:cs="Times New Roman"/>
      <w:sz w:val="18"/>
      <w:szCs w:val="18"/>
    </w:rPr>
  </w:style>
  <w:style w:type="character" w:customStyle="1" w:styleId="Char1">
    <w:name w:val="批注框文本 Char"/>
    <w:basedOn w:val="a0"/>
    <w:link w:val="a6"/>
    <w:uiPriority w:val="99"/>
    <w:semiHidden/>
    <w:qFormat/>
    <w:rPr>
      <w:rFonts w:ascii="Times New Roman" w:hAnsi="Times New Roman"/>
      <w:kern w:val="2"/>
      <w:sz w:val="18"/>
      <w:szCs w:val="18"/>
    </w:rPr>
  </w:style>
  <w:style w:type="character" w:customStyle="1" w:styleId="3Char">
    <w:name w:val="标题 3 Char"/>
    <w:basedOn w:val="a0"/>
    <w:link w:val="3"/>
    <w:uiPriority w:val="9"/>
    <w:qFormat/>
    <w:rPr>
      <w:rFonts w:ascii="Times New Roman" w:hAnsi="Times New Roman"/>
      <w:b/>
      <w:bCs/>
      <w:kern w:val="2"/>
      <w:sz w:val="32"/>
      <w:szCs w:val="32"/>
    </w:rPr>
  </w:style>
  <w:style w:type="character" w:customStyle="1" w:styleId="7Char">
    <w:name w:val="标题 7 Char"/>
    <w:basedOn w:val="a0"/>
    <w:link w:val="7"/>
    <w:qFormat/>
    <w:rPr>
      <w:rFonts w:ascii="Futura" w:hAnsi="Futura"/>
      <w:b/>
      <w:bCs/>
      <w:color w:val="000000"/>
      <w:sz w:val="18"/>
      <w:lang w:eastAsia="en-US"/>
    </w:rPr>
  </w:style>
  <w:style w:type="character" w:customStyle="1" w:styleId="Char4">
    <w:name w:val="标题 Char"/>
    <w:basedOn w:val="a0"/>
    <w:link w:val="aa"/>
    <w:qFormat/>
    <w:rPr>
      <w:rFonts w:ascii="Arial" w:eastAsia="黑体" w:hAnsi="Arial" w:cs="Arial"/>
      <w:b/>
      <w:bCs/>
      <w:kern w:val="2"/>
      <w:sz w:val="40"/>
      <w:szCs w:val="24"/>
    </w:rPr>
  </w:style>
  <w:style w:type="character" w:customStyle="1" w:styleId="13">
    <w:name w:val="占位符文本1"/>
    <w:basedOn w:val="a0"/>
    <w:uiPriority w:val="99"/>
    <w:semiHidden/>
    <w:qFormat/>
    <w:rPr>
      <w:color w:val="808080"/>
    </w:rPr>
  </w:style>
  <w:style w:type="paragraph" w:customStyle="1" w:styleId="110">
    <w:name w:val="列出段落11"/>
    <w:basedOn w:val="a"/>
    <w:uiPriority w:val="34"/>
    <w:qFormat/>
    <w:pPr>
      <w:ind w:firstLineChars="200" w:firstLine="420"/>
    </w:pPr>
  </w:style>
  <w:style w:type="paragraph" w:styleId="af1">
    <w:name w:val="List Paragraph"/>
    <w:basedOn w:val="a"/>
    <w:uiPriority w:val="34"/>
    <w:qFormat/>
    <w:pPr>
      <w:ind w:firstLineChars="200" w:firstLine="420"/>
    </w:pPr>
  </w:style>
  <w:style w:type="paragraph" w:customStyle="1" w:styleId="TOC2">
    <w:name w:val="TOC 标题2"/>
    <w:basedOn w:val="1"/>
    <w:next w:val="a"/>
    <w:uiPriority w:val="39"/>
    <w:unhideWhenUsed/>
    <w:qFormat/>
    <w:pPr>
      <w:keepNext/>
      <w:keepLines/>
      <w:widowControl/>
      <w:adjustRightInd/>
      <w:snapToGrid/>
      <w:spacing w:beforeLines="0" w:line="276" w:lineRule="auto"/>
      <w:jc w:val="left"/>
      <w:textAlignment w:val="auto"/>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日期 Char"/>
    <w:basedOn w:val="a0"/>
    <w:link w:val="a5"/>
    <w:semiHidden/>
    <w:qFormat/>
    <w:rPr>
      <w:kern w:val="2"/>
      <w:sz w:val="21"/>
      <w:szCs w:val="24"/>
    </w:rPr>
  </w:style>
  <w:style w:type="paragraph" w:customStyle="1" w:styleId="WPSOffice1">
    <w:name w:val="WPSOffice手动目录 1"/>
    <w:qFormat/>
    <w:pPr>
      <w:spacing w:after="160" w:line="259" w:lineRule="auto"/>
    </w:pPr>
    <w:rPr>
      <w:rFonts w:eastAsiaTheme="minorEastAsia"/>
    </w:rPr>
  </w:style>
  <w:style w:type="paragraph" w:customStyle="1" w:styleId="WPSOffice2">
    <w:name w:val="WPSOffice手动目录 2"/>
    <w:qFormat/>
    <w:pPr>
      <w:spacing w:after="160" w:line="259" w:lineRule="auto"/>
      <w:ind w:leftChars="200" w:left="200"/>
    </w:pPr>
    <w:rPr>
      <w:rFonts w:eastAsiaTheme="minorEastAsia"/>
    </w:rPr>
  </w:style>
  <w:style w:type="character" w:customStyle="1" w:styleId="14">
    <w:name w:val="不明显强调1"/>
    <w:basedOn w:val="a0"/>
    <w:uiPriority w:val="19"/>
    <w:qFormat/>
    <w:rPr>
      <w:i/>
      <w:iCs/>
      <w:color w:val="7F7F7F" w:themeColor="text1" w:themeTint="80"/>
    </w:rPr>
  </w:style>
  <w:style w:type="paragraph" w:customStyle="1" w:styleId="TOC3">
    <w:name w:val="TOC 标题3"/>
    <w:basedOn w:val="1"/>
    <w:next w:val="a"/>
    <w:uiPriority w:val="39"/>
    <w:semiHidden/>
    <w:unhideWhenUsed/>
    <w:qFormat/>
    <w:pPr>
      <w:keepNext/>
      <w:keepLines/>
      <w:widowControl/>
      <w:adjustRightInd/>
      <w:snapToGrid/>
      <w:spacing w:beforeLines="0" w:line="276" w:lineRule="auto"/>
      <w:jc w:val="left"/>
      <w:textAlignment w:val="auto"/>
      <w:outlineLvl w:val="9"/>
    </w:pPr>
    <w:rPr>
      <w:rFonts w:asciiTheme="majorHAnsi" w:eastAsiaTheme="majorEastAsia" w:hAnsiTheme="majorHAnsi" w:cstheme="majorBidi"/>
      <w:color w:val="365F91" w:themeColor="accent1" w:themeShade="BF"/>
      <w:kern w:val="0"/>
      <w:sz w:val="28"/>
      <w:szCs w:val="28"/>
    </w:rPr>
  </w:style>
  <w:style w:type="character" w:customStyle="1" w:styleId="Char">
    <w:name w:val="批注文字 Char"/>
    <w:basedOn w:val="a0"/>
    <w:link w:val="a4"/>
    <w:uiPriority w:val="99"/>
    <w:semiHidden/>
    <w:qFormat/>
    <w:rPr>
      <w:kern w:val="2"/>
      <w:sz w:val="21"/>
      <w:szCs w:val="24"/>
    </w:rPr>
  </w:style>
  <w:style w:type="character" w:customStyle="1" w:styleId="Char5">
    <w:name w:val="批注主题 Char"/>
    <w:basedOn w:val="Char"/>
    <w:link w:val="ab"/>
    <w:semiHidden/>
    <w:qFormat/>
    <w:rPr>
      <w:b/>
      <w:bCs/>
      <w:kern w:val="2"/>
      <w:sz w:val="21"/>
      <w:szCs w:val="24"/>
    </w:rPr>
  </w:style>
  <w:style w:type="character" w:customStyle="1" w:styleId="gbd">
    <w:name w:val="gb_d"/>
    <w:basedOn w:val="a0"/>
    <w:qFormat/>
    <w:rPr>
      <w:color w:val="FFFFFF"/>
    </w:rPr>
  </w:style>
  <w:style w:type="character" w:customStyle="1" w:styleId="gbd1">
    <w:name w:val="gb_d1"/>
    <w:basedOn w:val="a0"/>
    <w:qFormat/>
    <w:rPr>
      <w:u w:val="none"/>
      <w:shd w:val="clear" w:color="auto" w:fill="F5F5F5"/>
    </w:rPr>
  </w:style>
  <w:style w:type="character" w:customStyle="1" w:styleId="gt-baf-pos">
    <w:name w:val="gt-baf-pos"/>
    <w:basedOn w:val="a0"/>
    <w:qFormat/>
    <w:rPr>
      <w:color w:val="777777"/>
    </w:rPr>
  </w:style>
  <w:style w:type="character" w:customStyle="1" w:styleId="gt-baf-base-sep">
    <w:name w:val="gt-baf-base-sep"/>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B598A5-6364-435A-B637-8D7CE8927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27</Pages>
  <Words>3610</Words>
  <Characters>20581</Characters>
  <Application>Microsoft Office Word</Application>
  <DocSecurity>0</DocSecurity>
  <Lines>171</Lines>
  <Paragraphs>48</Paragraphs>
  <ScaleCrop>false</ScaleCrop>
  <Company>中国微软</Company>
  <LinksUpToDate>false</LinksUpToDate>
  <CharactersWithSpaces>24143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深圳湾超级总部区城市设计国际咨询</dc:title>
  <dc:creator>wlei</dc:creator>
  <cp:lastModifiedBy>许小健</cp:lastModifiedBy>
  <cp:revision>7</cp:revision>
  <cp:lastPrinted>2018-09-04T14:09:00Z</cp:lastPrinted>
  <dcterms:created xsi:type="dcterms:W3CDTF">2019-06-25T01:31:00Z</dcterms:created>
  <dcterms:modified xsi:type="dcterms:W3CDTF">2019-06-26T03:17:00Z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y fmtid="{D5CDD505-2E9C-101B-9397-08002B2CF9AE}" pid="3" name="_DocHome">
    <vt:i4>-1622078216</vt:i4>
  </property>
</Properties>
</file>